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BF" w:rsidRPr="003245DD" w:rsidRDefault="003245DD" w:rsidP="003245DD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3245DD">
        <w:rPr>
          <w:rFonts w:ascii="Calibri" w:hAnsi="Calibri" w:cs="Times New Roman"/>
          <w:b/>
          <w:szCs w:val="20"/>
          <w:lang w:eastAsia="pt-PT"/>
        </w:rPr>
        <w:t xml:space="preserve">Ponto 3 – </w:t>
      </w:r>
      <w:r w:rsidR="009B191D">
        <w:rPr>
          <w:rFonts w:ascii="Calibri" w:hAnsi="Calibri" w:cs="Times New Roman"/>
          <w:b/>
          <w:szCs w:val="20"/>
          <w:lang w:eastAsia="pt-PT"/>
        </w:rPr>
        <w:t>a</w:t>
      </w:r>
      <w:r w:rsidRPr="003245DD">
        <w:rPr>
          <w:rFonts w:ascii="Calibri" w:hAnsi="Calibri" w:cs="Times New Roman"/>
          <w:b/>
          <w:szCs w:val="20"/>
          <w:lang w:eastAsia="pt-PT"/>
        </w:rPr>
        <w:t>nexo 3</w:t>
      </w:r>
    </w:p>
    <w:p w:rsidR="002713C9" w:rsidRDefault="00054DDB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  <w:r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Pedidos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 à C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omissão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N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acional do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T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erritório</w:t>
      </w:r>
    </w:p>
    <w:p w:rsidR="00963BD1" w:rsidRPr="00F375CB" w:rsidRDefault="00963BD1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</w:p>
    <w:tbl>
      <w:tblPr>
        <w:tblW w:w="0" w:type="auto"/>
        <w:tblInd w:w="250" w:type="dxa"/>
        <w:shd w:val="clear" w:color="auto" w:fill="EEECE1" w:themeFill="background2"/>
        <w:tblLook w:val="04A0"/>
      </w:tblPr>
      <w:tblGrid>
        <w:gridCol w:w="8222"/>
      </w:tblGrid>
      <w:tr w:rsidR="002713C9" w:rsidRPr="001A5BE0" w:rsidTr="004123BF">
        <w:trPr>
          <w:trHeight w:val="398"/>
        </w:trPr>
        <w:tc>
          <w:tcPr>
            <w:tcW w:w="8222" w:type="dxa"/>
            <w:shd w:val="clear" w:color="auto" w:fill="EEECE1" w:themeFill="background2"/>
          </w:tcPr>
          <w:p w:rsidR="002713C9" w:rsidRPr="001A5BE0" w:rsidRDefault="002713C9" w:rsidP="005B0FE1">
            <w:pPr>
              <w:tabs>
                <w:tab w:val="clear" w:pos="709"/>
              </w:tabs>
              <w:jc w:val="center"/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</w:p>
        </w:tc>
      </w:tr>
      <w:tr w:rsidR="002713C9" w:rsidRPr="001A5BE0" w:rsidTr="004123BF">
        <w:trPr>
          <w:trHeight w:val="988"/>
        </w:trPr>
        <w:tc>
          <w:tcPr>
            <w:tcW w:w="8222" w:type="dxa"/>
            <w:shd w:val="clear" w:color="auto" w:fill="EEECE1" w:themeFill="background2"/>
          </w:tcPr>
          <w:p w:rsidR="00700149" w:rsidRPr="00C4513C" w:rsidRDefault="00700149" w:rsidP="00C4513C">
            <w:pPr>
              <w:tabs>
                <w:tab w:val="clear" w:pos="709"/>
              </w:tabs>
              <w:ind w:right="142"/>
            </w:pPr>
            <w:r>
              <w:t>A C</w:t>
            </w:r>
            <w:r w:rsidR="00131718">
              <w:t xml:space="preserve">omissão </w:t>
            </w:r>
            <w:r>
              <w:t>N</w:t>
            </w:r>
            <w:r w:rsidR="00131718">
              <w:t xml:space="preserve">acional do </w:t>
            </w:r>
            <w:r>
              <w:t>T</w:t>
            </w:r>
            <w:r w:rsidR="00131718">
              <w:t>erritório (CNT)</w:t>
            </w:r>
            <w:r>
              <w:t xml:space="preserve"> emite </w:t>
            </w:r>
            <w:r w:rsidRPr="00B510E0">
              <w:t>pareceres e recomendações sobre questões relati</w:t>
            </w:r>
            <w:r w:rsidR="00131718">
              <w:t>vas ao Ordenamento do T</w:t>
            </w:r>
            <w:r>
              <w:t>erritório</w:t>
            </w:r>
            <w:r w:rsidR="00131718">
              <w:t>,</w:t>
            </w:r>
            <w:r>
              <w:t xml:space="preserve"> </w:t>
            </w:r>
            <w:r w:rsidR="00131718">
              <w:t>competindo-lhe igualmente</w:t>
            </w:r>
            <w:r>
              <w:t xml:space="preserve"> endereçar questões relativas à Reserva Ecológica Nacional, no âmbito das atribuições identificadas no n.º</w:t>
            </w:r>
            <w:r w:rsidR="00131718">
              <w:t xml:space="preserve"> </w:t>
            </w:r>
            <w:r>
              <w:t>1 do artigo 184</w:t>
            </w:r>
            <w:r w:rsidR="00131718">
              <w:t>.</w:t>
            </w:r>
            <w:r w:rsidR="00497CB9">
              <w:t>º do Decreto-Lei n.º80</w:t>
            </w:r>
            <w:r>
              <w:t>/2015</w:t>
            </w:r>
            <w:r w:rsidR="00131718">
              <w:t>,</w:t>
            </w:r>
            <w:r>
              <w:t xml:space="preserve"> de 14 de maio. </w:t>
            </w:r>
          </w:p>
        </w:tc>
      </w:tr>
    </w:tbl>
    <w:p w:rsidR="002713C9" w:rsidRDefault="002713C9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1</w:t>
      </w:r>
      <w:r>
        <w:rPr>
          <w:rFonts w:ascii="Calibri" w:hAnsi="Calibri" w:cs="Times New Roman"/>
          <w:b/>
          <w:bCs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 w:rsidR="008672C7">
        <w:rPr>
          <w:rFonts w:ascii="Calibri" w:hAnsi="Calibri" w:cs="Times New Roman"/>
          <w:b/>
          <w:szCs w:val="20"/>
          <w:lang w:eastAsia="pt-PT"/>
        </w:rPr>
        <w:t>Proponente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182126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2" style="position:absolute;margin-left:381.3pt;margin-top:10.2pt;width:22.6pt;height:21.8pt;z-index:251715584" coordorigin="9327,6506" coordsize="452,4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0" type="#_x0000_t32" style="position:absolute;left:9327;top:6506;width:452;height:436;flip:x" o:connectortype="straight"/>
            <v:shape id="_x0000_s1091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27" style="position:absolute;margin-left:381.3pt;margin-top:10.2pt;width:22.6pt;height:21.8pt;z-index:251659264"/>
        </w:pict>
      </w:r>
    </w:p>
    <w:p w:rsidR="005801F5" w:rsidRDefault="00182126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182126">
        <w:rPr>
          <w:rFonts w:ascii="Calibri" w:hAnsi="Calibri" w:cs="Times New Roman"/>
          <w:noProof/>
          <w:szCs w:val="20"/>
          <w:lang w:eastAsia="pt-PT"/>
        </w:rPr>
        <w:pict>
          <v:shape id="_x0000_s1051" type="#_x0000_t32" style="position:absolute;margin-left:67.95pt;margin-top:10.95pt;width:308.3pt;height:.05pt;z-index:251681792" o:connectortype="straight"/>
        </w:pict>
      </w:r>
      <w:r w:rsidR="00C4513C">
        <w:rPr>
          <w:noProof/>
          <w:lang w:eastAsia="pt-PT"/>
        </w:rPr>
        <w:t>Vogal da CNT</w:t>
      </w:r>
      <w:r w:rsidR="001D1C6B">
        <w:rPr>
          <w:noProof/>
          <w:lang w:eastAsia="pt-PT"/>
        </w:rPr>
        <w:t xml:space="preserve">                   CCDR N</w:t>
      </w:r>
    </w:p>
    <w:p w:rsidR="005801F5" w:rsidRDefault="00182126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rect id="_x0000_s1028" style="position:absolute;margin-left:381.3pt;margin-top:12.5pt;width:22.6pt;height:21.8pt;z-index:251660288"/>
        </w:pict>
      </w:r>
    </w:p>
    <w:p w:rsidR="005801F5" w:rsidRPr="00C4513C" w:rsidRDefault="00182126" w:rsidP="002713C9">
      <w:pPr>
        <w:tabs>
          <w:tab w:val="clear" w:pos="709"/>
        </w:tabs>
        <w:spacing w:line="276" w:lineRule="auto"/>
        <w:jc w:val="left"/>
        <w:rPr>
          <w:noProof/>
          <w:lang w:eastAsia="pt-PT"/>
        </w:rPr>
      </w:pPr>
      <w:r>
        <w:rPr>
          <w:noProof/>
          <w:lang w:eastAsia="pt-PT"/>
        </w:rPr>
        <w:pict>
          <v:shape id="_x0000_s1052" type="#_x0000_t32" style="position:absolute;margin-left:76.95pt;margin-top:10.25pt;width:295.1pt;height:.05pt;z-index:251682816" o:connectortype="straight"/>
        </w:pict>
      </w: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0pt;margin-top:10.25pt;width:115.2pt;height:21pt;z-index:251657215;mso-height-percent:200;mso-height-percent:200;mso-width-relative:margin;mso-height-relative:margin" stroked="f">
            <v:textbox style="mso-fit-shape-to-text:t">
              <w:txbxContent>
                <w:p w:rsidR="00EF7991" w:rsidRPr="00EF7991" w:rsidRDefault="00EF7991" w:rsidP="00EF79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EF7991">
                    <w:rPr>
                      <w:sz w:val="16"/>
                      <w:szCs w:val="16"/>
                    </w:rPr>
                    <w:t xml:space="preserve">designação </w:t>
                  </w:r>
                  <w:r>
                    <w:rPr>
                      <w:sz w:val="16"/>
                      <w:szCs w:val="16"/>
                    </w:rPr>
                    <w:t>da entidade)</w:t>
                  </w:r>
                </w:p>
              </w:txbxContent>
            </v:textbox>
          </v:shape>
        </w:pict>
      </w:r>
      <w:r w:rsidR="00C4513C" w:rsidRPr="00C4513C">
        <w:rPr>
          <w:noProof/>
          <w:lang w:eastAsia="pt-PT"/>
        </w:rPr>
        <w:t>Outra entidade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Classificação do assunto</w:t>
      </w:r>
    </w:p>
    <w:p w:rsidR="005801F5" w:rsidRDefault="00182126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3" style="position:absolute;margin-left:381.3pt;margin-top:11.8pt;width:22.6pt;height:21.8pt;z-index:251716608" coordorigin="9327,6506" coordsize="452,436">
            <v:shape id="_x0000_s1094" type="#_x0000_t32" style="position:absolute;left:9327;top:6506;width:452;height:436;flip:x" o:connectortype="straight"/>
            <v:shape id="_x0000_s1095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34" style="position:absolute;margin-left:381.3pt;margin-top:11.8pt;width:22.6pt;height:21.8pt;z-index:251666432"/>
        </w:pict>
      </w:r>
    </w:p>
    <w:p w:rsidR="005801F5" w:rsidRDefault="005801F5" w:rsidP="005801F5">
      <w:pPr>
        <w:tabs>
          <w:tab w:val="clear" w:pos="709"/>
        </w:tabs>
        <w:spacing w:line="240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2.1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Ordenamento do Território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166749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41A00" w:rsidRDefault="00182126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bCs/>
          <w:color w:val="948A54" w:themeColor="background2" w:themeShade="80"/>
        </w:rPr>
      </w:pPr>
      <w:r>
        <w:rPr>
          <w:rFonts w:ascii="Calibri" w:hAnsi="Calibri" w:cs="Times New Roman"/>
          <w:b/>
          <w:bCs/>
          <w:noProof/>
          <w:color w:val="948A54" w:themeColor="background2" w:themeShade="80"/>
          <w:lang w:eastAsia="pt-PT"/>
        </w:rPr>
        <w:lastRenderedPageBreak/>
        <w:pict>
          <v:rect id="_x0000_s1088" style="position:absolute;margin-left:381.3pt;margin-top:9.1pt;width:22.6pt;height:21.8pt;z-index:251712512"/>
        </w:pic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2.2</w:t>
      </w:r>
      <w:r w:rsidRPr="001A5BE0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Reserva Ecológica Nacional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5801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0FCE" w:rsidRDefault="00BE0FCE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3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 xml:space="preserve">Exposição </w:t>
      </w: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>
        <w:rPr>
          <w:rFonts w:ascii="Calibri" w:hAnsi="Calibri" w:cs="Times New Roman"/>
          <w:b/>
          <w:szCs w:val="20"/>
          <w:lang w:eastAsia="pt-PT"/>
        </w:rPr>
        <w:t xml:space="preserve"> Assunto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8672C7">
        <w:trPr>
          <w:trHeight w:val="398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8E28B4" w:rsidP="002C570B">
            <w:pPr>
              <w:tabs>
                <w:tab w:val="clear" w:pos="709"/>
              </w:tabs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  <w:r>
              <w:t xml:space="preserve">Aplicação dos novos prazos do RJUE - </w:t>
            </w:r>
            <w:proofErr w:type="spellStart"/>
            <w:r>
              <w:t>actualização</w:t>
            </w:r>
            <w:proofErr w:type="spellEnd"/>
            <w:r>
              <w:t xml:space="preserve"> da</w:t>
            </w:r>
            <w:r>
              <w:br/>
              <w:t>plataforma SIRJUE.</w:t>
            </w:r>
          </w:p>
        </w:tc>
      </w:tr>
      <w:tr w:rsidR="00963BD1" w:rsidRPr="001A5BE0" w:rsidTr="008672C7">
        <w:trPr>
          <w:trHeight w:val="206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963BD1" w:rsidP="00010251">
            <w:pPr>
              <w:tabs>
                <w:tab w:val="clear" w:pos="709"/>
              </w:tabs>
              <w:ind w:right="142"/>
              <w:rPr>
                <w:rFonts w:ascii="Calibri" w:hAnsi="Calibri" w:cs="Times New Roman"/>
                <w:bCs/>
                <w:i/>
                <w:color w:val="365F91"/>
              </w:rPr>
            </w:pPr>
          </w:p>
        </w:tc>
      </w:tr>
    </w:tbl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Pr="00DD60B9" w:rsidRDefault="00182126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>
        <w:rPr>
          <w:rFonts w:ascii="Calibri" w:hAnsi="Calibri" w:cs="Times New Roman"/>
          <w:b/>
          <w:noProof/>
          <w:szCs w:val="20"/>
          <w:lang w:eastAsia="pt-PT"/>
        </w:rPr>
        <w:pict>
          <v:group id="_x0000_s1096" style="position:absolute;left:0;text-align:left;margin-left:124.3pt;margin-top:.8pt;width:14.7pt;height:12.05pt;z-index:251717632" coordorigin="9327,6506" coordsize="452,436">
            <v:shape id="_x0000_s1097" type="#_x0000_t32" style="position:absolute;left:9327;top:6506;width:452;height:436;flip:x" o:connectortype="straight"/>
            <v:shape id="_x0000_s1098" type="#_x0000_t32" style="position:absolute;left:9327;top:6506;width:452;height:436" o:connectortype="straight"/>
          </v:group>
        </w:pict>
      </w:r>
      <w:r w:rsidRPr="00182126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3" type="#_x0000_t202" style="position:absolute;left:0;text-align:left;margin-left:151pt;margin-top:.8pt;width:29.95pt;height:17.15pt;z-index:251692032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não</w:t>
                  </w:r>
                </w:p>
              </w:txbxContent>
            </v:textbox>
          </v:shape>
        </w:pict>
      </w:r>
      <w:r w:rsidRPr="00182126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2" style="position:absolute;left:0;text-align:left;margin-left:180.95pt;margin-top:.8pt;width:14.7pt;height:12.05pt;z-index:251693056"/>
        </w:pict>
      </w:r>
      <w:r w:rsidRPr="00182126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1" type="#_x0000_t202" style="position:absolute;left:0;text-align:left;margin-left:94.35pt;margin-top:.8pt;width:29.95pt;height:17.15pt;z-index:251689984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sim</w:t>
                  </w:r>
                </w:p>
              </w:txbxContent>
            </v:textbox>
          </v:shape>
        </w:pict>
      </w:r>
      <w:r w:rsidRPr="00182126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0" style="position:absolute;left:0;text-align:left;margin-left:124.3pt;margin-top:.8pt;width:14.7pt;height:12.05pt;z-index:251710464"/>
        </w:pict>
      </w:r>
      <w:r w:rsidR="00963BD1"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 w:rsidR="00963BD1" w:rsidRPr="00DD60B9">
        <w:rPr>
          <w:rFonts w:ascii="Calibri" w:hAnsi="Calibri" w:cs="Times New Roman"/>
          <w:b/>
          <w:szCs w:val="20"/>
          <w:lang w:eastAsia="pt-PT"/>
        </w:rPr>
        <w:t xml:space="preserve"> Antecedentes</w:t>
      </w:r>
      <w:r w:rsidR="008672C7">
        <w:rPr>
          <w:rFonts w:ascii="Calibri" w:hAnsi="Calibri" w:cs="Times New Roman"/>
          <w:b/>
          <w:szCs w:val="20"/>
          <w:lang w:eastAsia="pt-PT"/>
        </w:rPr>
        <w:t xml:space="preserve"> </w:t>
      </w:r>
    </w:p>
    <w:p w:rsidR="00963BD1" w:rsidRPr="00054DDB" w:rsidRDefault="00963BD1" w:rsidP="00963BD1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054DDB">
        <w:rPr>
          <w:rFonts w:ascii="Calibri" w:hAnsi="Calibri" w:cs="Times New Roman"/>
          <w:szCs w:val="20"/>
          <w:lang w:eastAsia="pt-PT"/>
        </w:rPr>
        <w:t xml:space="preserve">(descrever </w:t>
      </w:r>
      <w:r w:rsidR="00AA3015">
        <w:rPr>
          <w:rFonts w:ascii="Calibri" w:hAnsi="Calibri" w:cs="Times New Roman"/>
          <w:szCs w:val="20"/>
          <w:lang w:eastAsia="pt-PT"/>
        </w:rPr>
        <w:t>os</w:t>
      </w:r>
      <w:r w:rsidRPr="00054DDB">
        <w:rPr>
          <w:rFonts w:ascii="Calibri" w:hAnsi="Calibri" w:cs="Times New Roman"/>
          <w:szCs w:val="20"/>
          <w:lang w:eastAsia="pt-PT"/>
        </w:rPr>
        <w:t xml:space="preserve"> antecedentes </w:t>
      </w:r>
      <w:r>
        <w:rPr>
          <w:rFonts w:ascii="Calibri" w:hAnsi="Calibri" w:cs="Times New Roman"/>
          <w:szCs w:val="20"/>
          <w:lang w:eastAsia="pt-PT"/>
        </w:rPr>
        <w:t>que relevem à análise</w:t>
      </w:r>
      <w:r w:rsidR="00AA3015">
        <w:rPr>
          <w:rFonts w:ascii="Calibri" w:hAnsi="Calibri" w:cs="Times New Roman"/>
          <w:szCs w:val="20"/>
          <w:lang w:eastAsia="pt-PT"/>
        </w:rPr>
        <w:t xml:space="preserve"> do assunto em apreço</w:t>
      </w:r>
      <w:r>
        <w:rPr>
          <w:rFonts w:ascii="Calibri" w:hAnsi="Calibri" w:cs="Times New Roman"/>
          <w:szCs w:val="20"/>
          <w:lang w:eastAsia="pt-PT"/>
        </w:rPr>
        <w:t>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2C570B">
        <w:trPr>
          <w:trHeight w:val="535"/>
        </w:trPr>
        <w:tc>
          <w:tcPr>
            <w:tcW w:w="8720" w:type="dxa"/>
            <w:shd w:val="clear" w:color="auto" w:fill="EEECE1" w:themeFill="background2"/>
          </w:tcPr>
          <w:p w:rsidR="008E28B4" w:rsidRDefault="008E28B4" w:rsidP="008E28B4">
            <w:pPr>
              <w:tabs>
                <w:tab w:val="clear" w:pos="709"/>
              </w:tabs>
            </w:pPr>
            <w:r>
              <w:t>O Decreto-Lei n.º 136/2014, de 9 de Setembro, que procedeu à</w:t>
            </w:r>
            <w:r>
              <w:br/>
              <w:t>décima terceira alteração ao Decreto-Lei n.º 555/99, de 16 de</w:t>
            </w:r>
            <w:r>
              <w:br/>
              <w:t>Dezembro, que aprovou o Regime Jurídico da Urbanização e da</w:t>
            </w:r>
            <w:r>
              <w:br/>
              <w:t>Edificação (RJUE), entrou em vigor, nos termos do disposto no</w:t>
            </w:r>
            <w:r>
              <w:br/>
              <w:t>seu artigo 12.º, 120 dias após a sua publicação, ou seja, a 6</w:t>
            </w:r>
            <w:r>
              <w:br/>
            </w:r>
            <w:r>
              <w:lastRenderedPageBreak/>
              <w:t>de Fevereiro de 2015.</w:t>
            </w:r>
          </w:p>
          <w:p w:rsidR="008E28B4" w:rsidRDefault="008E28B4" w:rsidP="008E28B4">
            <w:pPr>
              <w:tabs>
                <w:tab w:val="clear" w:pos="709"/>
              </w:tabs>
            </w:pPr>
            <w:r>
              <w:t>Esta última alteração ao RJUE veio, no que às</w:t>
            </w:r>
            <w:r>
              <w:br/>
              <w:t>competências desta CCDRN/Direcção de Serviços de Ordenamento</w:t>
            </w:r>
            <w:r>
              <w:br/>
              <w:t>do Território (DSOT) refere, introduzir importantes</w:t>
            </w:r>
            <w:r>
              <w:br/>
              <w:t>alterações.</w:t>
            </w:r>
          </w:p>
          <w:p w:rsidR="008E28B4" w:rsidRDefault="008E28B4" w:rsidP="008E28B4">
            <w:pPr>
              <w:tabs>
                <w:tab w:val="clear" w:pos="709"/>
              </w:tabs>
            </w:pPr>
            <w:r>
              <w:t>Referimo-nos especificamente às alterações introduzidas ao</w:t>
            </w:r>
            <w:r>
              <w:br/>
              <w:t xml:space="preserve">artigo 13.º-A, </w:t>
            </w:r>
            <w:proofErr w:type="gramStart"/>
            <w:r>
              <w:t>alterações</w:t>
            </w:r>
            <w:proofErr w:type="gramEnd"/>
            <w:r>
              <w:t xml:space="preserve"> </w:t>
            </w:r>
            <w:proofErr w:type="gramStart"/>
            <w:r>
              <w:t>estas</w:t>
            </w:r>
            <w:proofErr w:type="gramEnd"/>
            <w:r>
              <w:t xml:space="preserve"> que não só introduziram uma</w:t>
            </w:r>
            <w:r>
              <w:br/>
              <w:t xml:space="preserve"> fase </w:t>
            </w:r>
            <w:proofErr w:type="spellStart"/>
            <w:r>
              <w:t>procedimental</w:t>
            </w:r>
            <w:proofErr w:type="spellEnd"/>
            <w:r>
              <w:t xml:space="preserve"> destinada à apreciação liminar (n.º 5)</w:t>
            </w:r>
            <w:r>
              <w:br/>
              <w:t xml:space="preserve">– </w:t>
            </w:r>
            <w:proofErr w:type="gramStart"/>
            <w:r>
              <w:t>dando</w:t>
            </w:r>
            <w:proofErr w:type="gramEnd"/>
            <w:r>
              <w:t xml:space="preserve"> satisfação a uma persistente reivindicação desta</w:t>
            </w:r>
            <w:r>
              <w:br/>
              <w:t>CCDRN/DSOT – mas também procedeu a uma uniformização dos</w:t>
            </w:r>
            <w:r>
              <w:br/>
              <w:t>prazos, fixando para todas as entidades consultadas o prazo</w:t>
            </w:r>
            <w:r>
              <w:br/>
              <w:t>imperativo de 20 dias para que se pronunciem (n.º 3). Recorde-se</w:t>
            </w:r>
            <w:r>
              <w:br/>
              <w:t>que antes da referida alteração o prazo para pronúncia era de</w:t>
            </w:r>
            <w:r>
              <w:br/>
              <w:t>40 dias, sempre que se tratasse de obra relativa a imóvel de</w:t>
            </w:r>
            <w:r>
              <w:br/>
              <w:t>interesse nacional ou de interesse público ou caso se referisse</w:t>
            </w:r>
            <w:r>
              <w:br/>
              <w:t>a operações urbanísticas a realizar em área integrada na Rede</w:t>
            </w:r>
            <w:r>
              <w:br/>
              <w:t>Natura ou em área integrada na Rede Nacional de Áreas</w:t>
            </w:r>
            <w:r>
              <w:br/>
              <w:t>Protegidas.</w:t>
            </w:r>
          </w:p>
          <w:p w:rsidR="008E28B4" w:rsidRDefault="008E28B4" w:rsidP="008E28B4">
            <w:pPr>
              <w:tabs>
                <w:tab w:val="clear" w:pos="709"/>
              </w:tabs>
            </w:pPr>
            <w:r w:rsidRPr="008E28B4">
              <w:t>Ora, se bem que o legislador tenha tido a cautela de prever,</w:t>
            </w:r>
            <w:r w:rsidRPr="008E28B4">
              <w:br/>
            </w:r>
            <w:proofErr w:type="gramStart"/>
            <w:r w:rsidRPr="008E28B4">
              <w:t>no</w:t>
            </w:r>
            <w:proofErr w:type="gramEnd"/>
            <w:r w:rsidRPr="008E28B4">
              <w:t xml:space="preserve"> artigo 8.º, uma norma transitória que determina no seu n.º</w:t>
            </w:r>
            <w:r w:rsidRPr="008E28B4">
              <w:br/>
              <w:t xml:space="preserve">2 que até à entrada em funcionamento da plataforma </w:t>
            </w:r>
            <w:proofErr w:type="spellStart"/>
            <w:r w:rsidRPr="008E28B4">
              <w:t>electrónica</w:t>
            </w:r>
            <w:proofErr w:type="spellEnd"/>
            <w:r w:rsidRPr="008E28B4">
              <w:br/>
              <w:t xml:space="preserve">(…), a tramitação dos processos pode </w:t>
            </w:r>
            <w:proofErr w:type="spellStart"/>
            <w:r w:rsidRPr="008E28B4">
              <w:t>efectuar-se</w:t>
            </w:r>
            <w:proofErr w:type="spellEnd"/>
            <w:r w:rsidRPr="008E28B4">
              <w:t xml:space="preserve"> nos termos</w:t>
            </w:r>
            <w:r w:rsidRPr="008E28B4">
              <w:br/>
              <w:t>previstos no regime anteriormente vigente, o que permitiu que</w:t>
            </w:r>
            <w:r w:rsidRPr="008E28B4">
              <w:br/>
              <w:t>esta CCDRN/DSOT continuasse a tramitar as consultas do artigo</w:t>
            </w:r>
            <w:r w:rsidRPr="008E28B4">
              <w:br/>
              <w:t>13.º-A no termos vigentes antes de 6 de Fevereiro, urge, com</w:t>
            </w:r>
            <w:r w:rsidRPr="008E28B4">
              <w:br/>
              <w:t>especial premência resolver este constrangimento.  </w:t>
            </w:r>
          </w:p>
          <w:p w:rsidR="008E28B4" w:rsidRPr="008E28B4" w:rsidRDefault="008E28B4" w:rsidP="008E28B4">
            <w:pPr>
              <w:tabs>
                <w:tab w:val="clear" w:pos="709"/>
              </w:tabs>
            </w:pPr>
            <w:r w:rsidRPr="008E28B4">
              <w:t>Com efeito, volvido mais de um ano desde a entrada em vigor do</w:t>
            </w:r>
            <w:r w:rsidRPr="008E28B4">
              <w:br/>
              <w:t>Decreto-Lei n.º 136/2014, de 9 de Setembro, revela-se</w:t>
            </w:r>
            <w:r w:rsidRPr="008E28B4">
              <w:br/>
              <w:t>incompreensível, na nossa opinião, que se mantenham os prazos </w:t>
            </w:r>
            <w:r w:rsidRPr="008E28B4">
              <w:br/>
              <w:t>de  40 dias e que não seja ainda possível proceder ao</w:t>
            </w:r>
            <w:r w:rsidRPr="008E28B4">
              <w:br/>
              <w:t>saneamento liminar dos processos.</w:t>
            </w:r>
          </w:p>
          <w:p w:rsidR="00963BD1" w:rsidRPr="002C570B" w:rsidRDefault="008E28B4" w:rsidP="002C570B">
            <w:pPr>
              <w:tabs>
                <w:tab w:val="clear" w:pos="709"/>
              </w:tabs>
            </w:pPr>
            <w:r>
              <w:t>Preocupada com esta situação, esta CCDRN/DSOT transmitiu</w:t>
            </w:r>
            <w:r>
              <w:br/>
              <w:t>formalmente à anterior e à actual SEOTCN a premência em</w:t>
            </w:r>
            <w:r>
              <w:br/>
              <w:t>alterar a plataforma, apontando, mesmo, um mecanismo extremamente</w:t>
            </w:r>
            <w:r>
              <w:br/>
              <w:t>simples que permitiria resolver a situação de imediato (</w:t>
            </w:r>
            <w:proofErr w:type="spellStart"/>
            <w:r>
              <w:t>vd</w:t>
            </w:r>
            <w:proofErr w:type="spellEnd"/>
            <w:r>
              <w:t xml:space="preserve"> mail</w:t>
            </w:r>
            <w:r>
              <w:br/>
              <w:t>em anexo).</w:t>
            </w:r>
          </w:p>
        </w:tc>
      </w:tr>
    </w:tbl>
    <w:p w:rsidR="00963BD1" w:rsidRDefault="00963BD1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DD60B9" w:rsidRP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lastRenderedPageBreak/>
        <w:t>3.3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Solicitação</w:t>
      </w:r>
    </w:p>
    <w:p w:rsidR="00DD60B9" w:rsidRPr="00DD60B9" w:rsidRDefault="00DD60B9" w:rsidP="00DD60B9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DD60B9">
        <w:rPr>
          <w:rFonts w:ascii="Calibri" w:hAnsi="Calibri" w:cs="Times New Roman"/>
          <w:szCs w:val="20"/>
          <w:lang w:eastAsia="pt-PT"/>
        </w:rPr>
        <w:t xml:space="preserve">(descrever </w:t>
      </w:r>
      <w:r>
        <w:rPr>
          <w:rFonts w:ascii="Calibri" w:hAnsi="Calibri" w:cs="Times New Roman"/>
          <w:szCs w:val="20"/>
          <w:lang w:eastAsia="pt-PT"/>
        </w:rPr>
        <w:t xml:space="preserve">objetivamente qual o problema, questão ou proposta a apresentar à </w:t>
      </w:r>
      <w:r w:rsidR="00817880">
        <w:rPr>
          <w:rFonts w:ascii="Calibri" w:hAnsi="Calibri" w:cs="Times New Roman"/>
          <w:szCs w:val="20"/>
          <w:lang w:eastAsia="pt-PT"/>
        </w:rPr>
        <w:t>CNT)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DD60B9" w:rsidRPr="001A5BE0" w:rsidTr="00F375CB">
        <w:trPr>
          <w:trHeight w:val="398"/>
        </w:trPr>
        <w:tc>
          <w:tcPr>
            <w:tcW w:w="9121" w:type="dxa"/>
            <w:shd w:val="clear" w:color="auto" w:fill="EEECE1" w:themeFill="background2"/>
          </w:tcPr>
          <w:p w:rsidR="00DD60B9" w:rsidRPr="001A5BE0" w:rsidRDefault="008E28B4" w:rsidP="008E28B4">
            <w:pPr>
              <w:tabs>
                <w:tab w:val="clear" w:pos="709"/>
              </w:tabs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  <w:r>
              <w:t xml:space="preserve">Ponto de situação dos trabalhos de </w:t>
            </w:r>
            <w:proofErr w:type="spellStart"/>
            <w:r>
              <w:t>actualização</w:t>
            </w:r>
            <w:proofErr w:type="spellEnd"/>
            <w:r>
              <w:t xml:space="preserve"> da plataforma SIRJUE pela Direcção-Geral das Autarquias Locais.</w:t>
            </w:r>
          </w:p>
        </w:tc>
      </w:tr>
      <w:tr w:rsidR="00DD60B9" w:rsidRPr="001A5BE0" w:rsidTr="00963BD1">
        <w:trPr>
          <w:trHeight w:val="566"/>
        </w:trPr>
        <w:tc>
          <w:tcPr>
            <w:tcW w:w="9121" w:type="dxa"/>
            <w:shd w:val="clear" w:color="auto" w:fill="EEECE1" w:themeFill="background2"/>
          </w:tcPr>
          <w:p w:rsidR="00DD60B9" w:rsidRPr="001A5BE0" w:rsidRDefault="00DD60B9" w:rsidP="00BB795E">
            <w:pPr>
              <w:tabs>
                <w:tab w:val="clear" w:pos="709"/>
              </w:tabs>
              <w:ind w:right="142"/>
              <w:rPr>
                <w:rFonts w:ascii="Calibri" w:hAnsi="Calibri" w:cs="Times New Roman"/>
                <w:bCs/>
                <w:i/>
                <w:color w:val="365F91"/>
              </w:rPr>
            </w:pPr>
          </w:p>
        </w:tc>
      </w:tr>
    </w:tbl>
    <w:p w:rsidR="00166749" w:rsidRDefault="00166749"/>
    <w:p w:rsid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3.4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 w:rsidR="00A0610B">
        <w:rPr>
          <w:rFonts w:ascii="Calibri" w:hAnsi="Calibri" w:cs="Times New Roman"/>
          <w:b/>
          <w:szCs w:val="20"/>
          <w:lang w:eastAsia="pt-PT"/>
        </w:rPr>
        <w:t>Outros participantes</w:t>
      </w:r>
    </w:p>
    <w:p w:rsidR="00A0610B" w:rsidRDefault="00A0610B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A0610B">
        <w:rPr>
          <w:rFonts w:ascii="Calibri" w:hAnsi="Calibri" w:cs="Times New Roman"/>
          <w:szCs w:val="20"/>
          <w:lang w:eastAsia="pt-PT"/>
        </w:rPr>
        <w:t xml:space="preserve">(Para além dos vogais </w:t>
      </w:r>
      <w:r>
        <w:rPr>
          <w:rFonts w:ascii="Calibri" w:hAnsi="Calibri" w:cs="Times New Roman"/>
          <w:szCs w:val="20"/>
          <w:lang w:eastAsia="pt-PT"/>
        </w:rPr>
        <w:t>permanentes</w:t>
      </w:r>
      <w:r w:rsidR="00131718">
        <w:rPr>
          <w:rFonts w:ascii="Calibri" w:hAnsi="Calibri" w:cs="Times New Roman"/>
          <w:szCs w:val="20"/>
          <w:lang w:eastAsia="pt-PT"/>
        </w:rPr>
        <w:t>, indique se considera relevante</w:t>
      </w:r>
      <w:r>
        <w:rPr>
          <w:rFonts w:ascii="Calibri" w:hAnsi="Calibri" w:cs="Times New Roman"/>
          <w:szCs w:val="20"/>
          <w:lang w:eastAsia="pt-PT"/>
        </w:rPr>
        <w:t xml:space="preserve"> para </w:t>
      </w:r>
      <w:r w:rsidR="00131718">
        <w:rPr>
          <w:rFonts w:ascii="Calibri" w:hAnsi="Calibri" w:cs="Times New Roman"/>
          <w:szCs w:val="20"/>
          <w:lang w:eastAsia="pt-PT"/>
        </w:rPr>
        <w:t>a discussão do assunto em apreço</w:t>
      </w:r>
      <w:r>
        <w:rPr>
          <w:rFonts w:ascii="Calibri" w:hAnsi="Calibri" w:cs="Times New Roman"/>
          <w:szCs w:val="20"/>
          <w:lang w:eastAsia="pt-PT"/>
        </w:rPr>
        <w:t xml:space="preserve"> convocar </w:t>
      </w:r>
      <w:r w:rsidR="00131718">
        <w:rPr>
          <w:rFonts w:ascii="Calibri" w:hAnsi="Calibri" w:cs="Times New Roman"/>
          <w:szCs w:val="20"/>
          <w:lang w:eastAsia="pt-PT"/>
        </w:rPr>
        <w:t>outro</w:t>
      </w:r>
      <w:r w:rsidR="008672C7">
        <w:rPr>
          <w:rFonts w:ascii="Calibri" w:hAnsi="Calibri" w:cs="Times New Roman"/>
          <w:szCs w:val="20"/>
          <w:lang w:eastAsia="pt-PT"/>
        </w:rPr>
        <w:t>s</w:t>
      </w:r>
      <w:r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representante</w:t>
      </w:r>
      <w:r w:rsidR="00817880">
        <w:rPr>
          <w:rFonts w:ascii="Calibri" w:hAnsi="Calibri" w:cs="Times New Roman"/>
          <w:szCs w:val="20"/>
          <w:lang w:eastAsia="pt-PT"/>
        </w:rPr>
        <w:t>s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da CNT para a</w:t>
      </w:r>
      <w:r w:rsidR="00131718">
        <w:rPr>
          <w:rFonts w:ascii="Calibri" w:hAnsi="Calibri" w:cs="Times New Roman"/>
          <w:szCs w:val="20"/>
          <w:lang w:eastAsia="pt-PT"/>
        </w:rPr>
        <w:t xml:space="preserve"> reunião, tendo em conta a c</w:t>
      </w:r>
      <w:r>
        <w:rPr>
          <w:rFonts w:ascii="Calibri" w:hAnsi="Calibri" w:cs="Times New Roman"/>
          <w:szCs w:val="20"/>
          <w:lang w:eastAsia="pt-PT"/>
        </w:rPr>
        <w:t xml:space="preserve">omposição da </w:t>
      </w:r>
      <w:r w:rsidR="00817880">
        <w:rPr>
          <w:rFonts w:ascii="Calibri" w:hAnsi="Calibri" w:cs="Times New Roman"/>
          <w:szCs w:val="20"/>
          <w:lang w:eastAsia="pt-PT"/>
        </w:rPr>
        <w:t>CNT prevista</w:t>
      </w:r>
      <w:r w:rsidR="00700149">
        <w:rPr>
          <w:rFonts w:ascii="Calibri" w:hAnsi="Calibri" w:cs="Times New Roman"/>
          <w:szCs w:val="20"/>
          <w:lang w:eastAsia="pt-PT"/>
        </w:rPr>
        <w:t xml:space="preserve"> </w:t>
      </w:r>
      <w:r w:rsidR="00817880">
        <w:rPr>
          <w:rFonts w:ascii="Calibri" w:hAnsi="Calibri" w:cs="Times New Roman"/>
          <w:szCs w:val="20"/>
          <w:lang w:eastAsia="pt-PT"/>
        </w:rPr>
        <w:t xml:space="preserve">no artigo </w:t>
      </w:r>
      <w:r>
        <w:rPr>
          <w:rFonts w:ascii="Calibri" w:hAnsi="Calibri" w:cs="Times New Roman"/>
          <w:szCs w:val="20"/>
          <w:lang w:eastAsia="pt-PT"/>
        </w:rPr>
        <w:t>185</w:t>
      </w:r>
      <w:r w:rsidR="00131718">
        <w:rPr>
          <w:rFonts w:ascii="Calibri" w:hAnsi="Calibri" w:cs="Times New Roman"/>
          <w:szCs w:val="20"/>
          <w:lang w:eastAsia="pt-PT"/>
        </w:rPr>
        <w:t>.</w:t>
      </w:r>
      <w:r>
        <w:rPr>
          <w:rFonts w:ascii="Calibri" w:hAnsi="Calibri" w:cs="Times New Roman"/>
          <w:szCs w:val="20"/>
          <w:lang w:eastAsia="pt-PT"/>
        </w:rPr>
        <w:t xml:space="preserve">º </w:t>
      </w:r>
      <w:r w:rsidR="00700149">
        <w:rPr>
          <w:rFonts w:ascii="Calibri" w:hAnsi="Calibri" w:cs="Times New Roman"/>
          <w:szCs w:val="20"/>
          <w:lang w:eastAsia="pt-PT"/>
        </w:rPr>
        <w:t>Decreto-Lei n.º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700149">
        <w:rPr>
          <w:rFonts w:ascii="Calibri" w:hAnsi="Calibri" w:cs="Times New Roman"/>
          <w:szCs w:val="20"/>
          <w:lang w:eastAsia="pt-PT"/>
        </w:rPr>
        <w:t>80/2015 de 14 de maio</w:t>
      </w:r>
      <w:r w:rsidRPr="00A0610B">
        <w:rPr>
          <w:rFonts w:ascii="Calibri" w:hAnsi="Calibri" w:cs="Times New Roman"/>
          <w:szCs w:val="20"/>
          <w:lang w:eastAsia="pt-PT"/>
        </w:rPr>
        <w:t>)</w:t>
      </w:r>
    </w:p>
    <w:p w:rsidR="00BE0FCE" w:rsidRPr="00A0610B" w:rsidRDefault="00182126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182126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3" style="position:absolute;left:0;text-align:left;margin-left:191.05pt;margin-top:22pt;width:15.15pt;height:148.9pt;z-index:251709440" coordorigin="5513,9456" coordsize="303,2978">
            <v:rect id="_x0000_s1076" style="position:absolute;left:5517;top:9456;width:294;height:241"/>
            <v:rect id="_x0000_s1077" style="position:absolute;left:5522;top:9939;width:294;height:241"/>
            <v:rect id="_x0000_s1078" style="position:absolute;left:5521;top:10397;width:294;height:241"/>
            <v:rect id="_x0000_s1079" style="position:absolute;left:5513;top:10835;width:294;height:241"/>
            <v:rect id="_x0000_s1080" style="position:absolute;left:5516;top:11313;width:294;height:241"/>
            <v:rect id="_x0000_s1081" style="position:absolute;left:5514;top:11753;width:294;height:241"/>
            <v:rect id="_x0000_s1082" style="position:absolute;left:5514;top:12193;width:294;height:241"/>
          </v:group>
        </w:pict>
      </w:r>
      <w:r w:rsidRPr="00182126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4" style="position:absolute;left:0;text-align:left;margin-left:2.95pt;margin-top:22pt;width:15.15pt;height:148.9pt;z-index:251697152" coordorigin="1769,9456" coordsize="303,2978">
            <v:rect id="_x0000_s1068" style="position:absolute;left:1773;top:9456;width:294;height:241"/>
            <v:rect id="_x0000_s1069" style="position:absolute;left:1778;top:9939;width:294;height:241"/>
            <v:rect id="_x0000_s1070" style="position:absolute;left:1777;top:10397;width:294;height:241"/>
            <v:rect id="_x0000_s1071" style="position:absolute;left:1769;top:10835;width:294;height:241"/>
            <v:rect id="_x0000_s1072" style="position:absolute;left:1772;top:11313;width:294;height:241"/>
            <v:rect id="_x0000_s1073" style="position:absolute;left:1770;top:11753;width:294;height:241"/>
            <v:rect id="_x0000_s1074" style="position:absolute;left:1770;top:12193;width:294;height:241"/>
          </v:group>
        </w:pict>
      </w:r>
    </w:p>
    <w:tbl>
      <w:tblPr>
        <w:tblStyle w:val="Tabelacomgrelha"/>
        <w:tblpPr w:leftFromText="141" w:rightFromText="141" w:vertAnchor="text" w:horzAnchor="margin" w:tblpXSpec="center" w:tblpY="11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245"/>
      </w:tblGrid>
      <w:tr w:rsidR="00BF7F96" w:rsidTr="00BE0FCE">
        <w:tc>
          <w:tcPr>
            <w:tcW w:w="3794" w:type="dxa"/>
          </w:tcPr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do Tesouro e Finanças</w:t>
            </w:r>
            <w:r w:rsidRPr="00BF7F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 Geral dos Recursos e Defesa Nacional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Autoridade Nacional da Proteção Civil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Política e da Justiça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182126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182126">
              <w:rPr>
                <w:rFonts w:ascii="Calibri" w:hAnsi="Calibri" w:cs="Times New Roman"/>
                <w:b/>
                <w:noProof/>
                <w:szCs w:val="20"/>
                <w:lang w:eastAsia="pt-PT"/>
              </w:rPr>
              <w:pict>
                <v:group id="_x0000_s1100" style="position:absolute;left:0;text-align:left;margin-left:11.35pt;margin-top:.4pt;width:14.7pt;height:12.05pt;z-index:251718656" coordorigin="9327,6506" coordsize="452,436">
                  <v:shape id="_x0000_s1101" type="#_x0000_t32" style="position:absolute;left:9327;top:6506;width:452;height:436;flip:x" o:connectortype="straight"/>
                  <v:shape id="_x0000_s1102" type="#_x0000_t32" style="position:absolute;left:9327;top:6506;width:452;height:436" o:connectortype="straight"/>
                </v:group>
              </w:pict>
            </w:r>
            <w:r w:rsidR="008A57E3" w:rsidRPr="00BF7F96">
              <w:rPr>
                <w:rFonts w:asciiTheme="minorHAnsi" w:hAnsiTheme="minorHAnsi"/>
                <w:sz w:val="16"/>
                <w:szCs w:val="16"/>
              </w:rPr>
              <w:t>Direção-Geral das Autarquias Locais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Instituto da Mobilidade e Transportes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Energia e Geologia</w:t>
            </w:r>
          </w:p>
        </w:tc>
        <w:tc>
          <w:tcPr>
            <w:tcW w:w="5245" w:type="dxa"/>
          </w:tcPr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dos Recursos Naturais, Serviços e Segurança Marítima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da Agricultura e Desenvolvimento Rural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BF7F96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Saúde</w:t>
            </w:r>
            <w:r w:rsidR="008A57E3" w:rsidRPr="00BF7F9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de Educação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de Lisboa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do Porto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18212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182126">
              <w:rPr>
                <w:rFonts w:asciiTheme="minorHAnsi" w:hAnsiTheme="minorHAnsi"/>
                <w:noProof/>
                <w:sz w:val="16"/>
                <w:szCs w:val="16"/>
                <w:lang w:eastAsia="pt-PT"/>
              </w:rPr>
              <w:pict>
                <v:shape id="_x0000_s1086" type="#_x0000_t32" style="position:absolute;left:0;text-align:left;margin-left:126.2pt;margin-top:8pt;width:116.25pt;height:0;z-index:251711488" o:connectortype="straight"/>
              </w:pict>
            </w:r>
            <w:r w:rsidR="00BF7F96">
              <w:rPr>
                <w:rFonts w:asciiTheme="minorHAnsi" w:hAnsiTheme="minorHAnsi"/>
                <w:sz w:val="16"/>
                <w:szCs w:val="16"/>
              </w:rPr>
              <w:t>Comunidade Intermunicipal</w:t>
            </w:r>
          </w:p>
        </w:tc>
      </w:tr>
    </w:tbl>
    <w:p w:rsidR="00BF7F96" w:rsidRDefault="00BF7F96" w:rsidP="00BE0FCE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BF7F96" w:rsidRDefault="00BF7F96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700149" w:rsidRDefault="00700149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3.5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Anexos</w:t>
      </w:r>
    </w:p>
    <w:p w:rsidR="0037618E" w:rsidRDefault="0037618E" w:rsidP="0037618E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SIRJUE</w:t>
      </w:r>
    </w:p>
    <w:p w:rsidR="0037618E" w:rsidRDefault="0037618E" w:rsidP="0037618E">
      <w:pPr>
        <w:pStyle w:val="Corpodetexto"/>
        <w:numPr>
          <w:ilvl w:val="0"/>
          <w:numId w:val="2"/>
        </w:num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Introdução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 xml:space="preserve">No vasto conjunto de medidas tomadas com vista á prossecução da “desburocratização e da eficácia na organização e funcionamento da Administração Pública, assim como uma das formas de concretização de um modelo de melhoria da prestação e gestão dos serviços públicos orientado pela economicidade, eficiência e eficácia”, o Decreto-Lei n.º 136/2014, de 9 de setembro introduziu diversas alterações aos procedimentos previstos nos artigos 13.º a 13.º-B do Regime Jurídico da Urbanização e Edificação (RJUE). No entanto, e apesar de as alterações em causa terem entrado em vigor no passado dia 7 de janeiro, o facto de todas elas estarem dependentes de alterações ao Portal do SIRJUE ainda não efetuadas, implicou que até à presente data que, na prática, nenhuma se tenha de facto tornado efetiva. </w:t>
      </w:r>
    </w:p>
    <w:p w:rsidR="0037618E" w:rsidRDefault="0037618E" w:rsidP="0037618E">
      <w:pPr>
        <w:pStyle w:val="Corpodetexto"/>
        <w:keepNext/>
        <w:numPr>
          <w:ilvl w:val="0"/>
          <w:numId w:val="2"/>
        </w:numPr>
        <w:ind w:left="357" w:hanging="357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lastRenderedPageBreak/>
        <w:t>Saneamento dos processos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 xml:space="preserve">Em relação aos procedimentos de correção da instrução dos pedidos tem-se continuado a operar por fora do Portal no sentido de procurar suprir, sempre que possível, eventuais faltas de elementos detetadas pela CCDR nas situações de consultas a mais do que uma EAC. Esse procedimento passa pela solicitação por </w:t>
      </w:r>
      <w:proofErr w:type="gramStart"/>
      <w:r>
        <w:rPr>
          <w:rFonts w:ascii="Gill Sans MT" w:hAnsi="Gill Sans MT"/>
        </w:rPr>
        <w:t>email</w:t>
      </w:r>
      <w:proofErr w:type="gramEnd"/>
      <w:r>
        <w:rPr>
          <w:rFonts w:ascii="Gill Sans MT" w:hAnsi="Gill Sans MT"/>
        </w:rPr>
        <w:t xml:space="preserve"> ou telefone diretamente às Câmaras Municipais para submissão de peças em falta, no</w:t>
      </w:r>
      <w:r>
        <w:rPr>
          <w:rFonts w:ascii="Gill Sans MT" w:hAnsi="Gill Sans MT"/>
          <w:color w:val="1F497D"/>
        </w:rPr>
        <w:t xml:space="preserve"> </w:t>
      </w:r>
      <w:r>
        <w:rPr>
          <w:rFonts w:ascii="Gill Sans MT" w:hAnsi="Gill Sans MT"/>
        </w:rPr>
        <w:t>prazo dos 5 dias que antecede o envio às Entidades da Administração Central. Este procedimento de recurso minora mas não elimina as situações de falta de elementos para pronúncia das entidades, o que apenas se poderá solucionar com a operacionalização no Portal do SIRJUE dos procedimentos previstos no artigo 13.º-A do RJUE na sua atual redação.</w:t>
      </w:r>
    </w:p>
    <w:p w:rsidR="0037618E" w:rsidRDefault="0037618E" w:rsidP="0037618E">
      <w:pPr>
        <w:pStyle w:val="Corpodetexto"/>
        <w:keepNext/>
        <w:numPr>
          <w:ilvl w:val="0"/>
          <w:numId w:val="2"/>
        </w:numPr>
        <w:ind w:left="357" w:hanging="357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Prazo para pronúncia das Entidades da Administração Central 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 xml:space="preserve">No se refere à redução dos prazos para pronúncia das EAC, o Portal do SIRJUE permite, apenas nas situações de consulta a mais do que uma EAC que a CCDR, enquanto entidade coordenadora, desative a eventual marcação pelo município remetente das situações que anteriormente eram abrangidas pelo prazo de 40 dias para pronúncia. 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>No entanto, e porque tal aplicação do prazo único de 20 dias para pronúncia não seria uniforme (nas consultas diretas às EAC a CCDR não pode interferir), não foi adotado tal procedimento para evitar conflitos e incongruências de procedimentos.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 xml:space="preserve">Parece-nos contudo que, a aplicação do disposto no Decreto-Lei n.º 136/2014 sobre esta matéria se poderá revelar de fácil concretização, bastando para tal tornar inativos no Portal do SIRJUE os 3 botões no separador Processo que permitem aos municípios assinalar as situações às quais se </w:t>
      </w:r>
      <w:proofErr w:type="gramStart"/>
      <w:r>
        <w:rPr>
          <w:rFonts w:ascii="Gill Sans MT" w:hAnsi="Gill Sans MT"/>
        </w:rPr>
        <w:t>aplica(</w:t>
      </w:r>
      <w:proofErr w:type="spellStart"/>
      <w:r>
        <w:rPr>
          <w:rFonts w:ascii="Gill Sans MT" w:hAnsi="Gill Sans MT"/>
        </w:rPr>
        <w:t>va</w:t>
      </w:r>
      <w:proofErr w:type="spellEnd"/>
      <w:proofErr w:type="gramEnd"/>
      <w:r>
        <w:rPr>
          <w:rFonts w:ascii="Gill Sans MT" w:hAnsi="Gill Sans MT"/>
        </w:rPr>
        <w:t xml:space="preserve">) o prazo de 40 dias. </w:t>
      </w:r>
    </w:p>
    <w:p w:rsidR="0037618E" w:rsidRDefault="0037618E" w:rsidP="0037618E">
      <w:pPr>
        <w:pStyle w:val="Corpodetexto"/>
      </w:pPr>
      <w:r>
        <w:rPr>
          <w:rFonts w:ascii="Gill Sans MT" w:hAnsi="Gill Sans MT"/>
        </w:rPr>
        <w:t>Com esta simples desativação seria efetivada esta alteração ao RJUE, ficando as demais a aguardar a implementação das necessárias adaptações ao Portal do SIRJUE.</w:t>
      </w:r>
    </w:p>
    <w:p w:rsidR="0037618E" w:rsidRDefault="0037618E" w:rsidP="0037618E">
      <w:pPr>
        <w:pStyle w:val="Corpodetexto"/>
        <w:keepNext/>
      </w:pPr>
      <w:r>
        <w:rPr>
          <w:noProof/>
        </w:rPr>
        <w:lastRenderedPageBreak/>
        <w:drawing>
          <wp:inline distT="0" distB="0" distL="0" distR="0">
            <wp:extent cx="5766842" cy="2811135"/>
            <wp:effectExtent l="19050" t="0" r="5308" b="0"/>
            <wp:docPr id="1" name="Imagem 1" descr="cid:image001.jpg@01D08C06.DC8A5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jpg@01D08C06.DC8A5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43" cy="28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8E" w:rsidRDefault="0037618E" w:rsidP="0037618E">
      <w:pPr>
        <w:pStyle w:val="Legenda"/>
      </w:pPr>
      <w:r>
        <w:t xml:space="preserve">Separador </w:t>
      </w:r>
      <w:r>
        <w:rPr>
          <w:i/>
          <w:iCs/>
        </w:rPr>
        <w:t>Processo</w:t>
      </w:r>
      <w:r>
        <w:t xml:space="preserve"> na interface dos Municípios</w:t>
      </w:r>
    </w:p>
    <w:p w:rsidR="0037618E" w:rsidRDefault="0037618E" w:rsidP="0037618E">
      <w:pPr>
        <w:rPr>
          <w:sz w:val="20"/>
          <w:szCs w:val="20"/>
        </w:rPr>
      </w:pPr>
      <w:r>
        <w:rPr>
          <w:sz w:val="20"/>
          <w:szCs w:val="20"/>
        </w:rPr>
        <w:t>(Assinalam-se os 3 marcadores que se propõe sejam desativados)</w:t>
      </w:r>
    </w:p>
    <w:p w:rsidR="0037618E" w:rsidRDefault="0037618E" w:rsidP="0037618E">
      <w:pPr>
        <w:rPr>
          <w:sz w:val="24"/>
          <w:szCs w:val="24"/>
        </w:rPr>
      </w:pP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>Recomenda-se que caso tal desativação seja implementada, seja difundido pelo Portal do SIRJUE a todos os Municípios e Entidades da Administração Central mensagem a informar que tal se destina a implementar a alteração ao prazo para pronúncia das Entidades da Administração Central nos termos das alterações ao artigo 13.º-A do RJUE introduzidas pelo Decreto-Lei n.º 136/2014, de 9 de setembro.</w:t>
      </w:r>
    </w:p>
    <w:p w:rsidR="0037618E" w:rsidRDefault="0037618E" w:rsidP="0037618E">
      <w:pPr>
        <w:pStyle w:val="Corpodetexto"/>
        <w:keepNext/>
        <w:numPr>
          <w:ilvl w:val="0"/>
          <w:numId w:val="2"/>
        </w:numPr>
        <w:ind w:left="357" w:hanging="357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Interoperabilidade </w:t>
      </w:r>
    </w:p>
    <w:p w:rsidR="0037618E" w:rsidRDefault="0037618E" w:rsidP="0037618E">
      <w:pPr>
        <w:pStyle w:val="Corpodetexto"/>
        <w:rPr>
          <w:rFonts w:ascii="Gill Sans MT" w:hAnsi="Gill Sans MT"/>
        </w:rPr>
      </w:pPr>
      <w:r>
        <w:rPr>
          <w:rFonts w:ascii="Gill Sans MT" w:hAnsi="Gill Sans MT"/>
        </w:rPr>
        <w:t xml:space="preserve">Sem prejuízo de outros contributos que poderemos dar no acompanhamento das alterações ao Portal do SIRJUE a implementar futuramente, aproveita-se a oportunidade para recordar a necessidade de, complementarmente às alterações ao Portal do SIRJUE decorrentes do Decreto-Lei n.º 136/2014, implementar os </w:t>
      </w:r>
      <w:proofErr w:type="spellStart"/>
      <w:r>
        <w:rPr>
          <w:rFonts w:ascii="Gill Sans MT" w:hAnsi="Gill Sans MT"/>
          <w:i/>
          <w:iCs/>
        </w:rPr>
        <w:t>toolkit</w:t>
      </w:r>
      <w:proofErr w:type="spellEnd"/>
      <w:r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</w:rPr>
        <w:t>que permitam assegurar a necessária interoperabilidade com os sistemas de informação documental das CCDR, situação que desde o início da implementação do Portal do SIRJUE se tem vindo a solicitar e que até ao presente nunca teve a necessária concretização.</w:t>
      </w:r>
    </w:p>
    <w:p w:rsidR="0037618E" w:rsidRDefault="00182126" w:rsidP="0037618E">
      <w:pPr>
        <w:jc w:val="center"/>
        <w:rPr>
          <w:rFonts w:eastAsia="Times New Roman"/>
          <w:color w:val="333333"/>
          <w:sz w:val="18"/>
          <w:szCs w:val="18"/>
          <w:lang w:eastAsia="pt-PT"/>
        </w:rPr>
      </w:pPr>
      <w:r w:rsidRPr="00182126">
        <w:rPr>
          <w:rFonts w:eastAsia="Times New Roman"/>
          <w:color w:val="333333"/>
          <w:sz w:val="18"/>
          <w:szCs w:val="18"/>
          <w:lang w:eastAsia="pt-PT"/>
        </w:rPr>
        <w:pict>
          <v:rect id="_x0000_i1025" style="width:425.2pt;height:1.5pt" o:hralign="center" o:hrstd="t" o:hr="t" fillcolor="#a0a0a0" stroked="f"/>
        </w:pict>
      </w:r>
    </w:p>
    <w:p w:rsidR="0037618E" w:rsidRDefault="0037618E" w:rsidP="0037618E">
      <w:bookmarkStart w:id="0" w:name="_GoBack"/>
      <w:bookmarkEnd w:id="0"/>
    </w:p>
    <w:p w:rsidR="0037618E" w:rsidRDefault="0037618E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sectPr w:rsidR="0037618E" w:rsidSect="005801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74" w:rsidRDefault="00BF5274" w:rsidP="008672C7">
      <w:pPr>
        <w:spacing w:line="240" w:lineRule="auto"/>
      </w:pPr>
      <w:r>
        <w:separator/>
      </w:r>
    </w:p>
  </w:endnote>
  <w:endnote w:type="continuationSeparator" w:id="0">
    <w:p w:rsidR="00BF5274" w:rsidRDefault="00BF5274" w:rsidP="00867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532"/>
      <w:docPartObj>
        <w:docPartGallery w:val="Page Numbers (Bottom of Page)"/>
        <w:docPartUnique/>
      </w:docPartObj>
    </w:sdtPr>
    <w:sdtContent>
      <w:p w:rsidR="0037618E" w:rsidRDefault="00182126">
        <w:pPr>
          <w:pStyle w:val="Rodap"/>
          <w:jc w:val="right"/>
        </w:pPr>
        <w:fldSimple w:instr=" PAGE   \* MERGEFORMAT ">
          <w:r w:rsidR="009B191D">
            <w:rPr>
              <w:noProof/>
            </w:rPr>
            <w:t>1</w:t>
          </w:r>
        </w:fldSimple>
      </w:p>
    </w:sdtContent>
  </w:sdt>
  <w:p w:rsidR="008672C7" w:rsidRDefault="008672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74" w:rsidRDefault="00BF5274" w:rsidP="008672C7">
      <w:pPr>
        <w:spacing w:line="240" w:lineRule="auto"/>
      </w:pPr>
      <w:r>
        <w:separator/>
      </w:r>
    </w:p>
  </w:footnote>
  <w:footnote w:type="continuationSeparator" w:id="0">
    <w:p w:rsidR="00BF5274" w:rsidRDefault="00BF5274" w:rsidP="00867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42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442BE4"/>
    <w:multiLevelType w:val="multilevel"/>
    <w:tmpl w:val="EF981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C9"/>
    <w:rsid w:val="00020936"/>
    <w:rsid w:val="00036554"/>
    <w:rsid w:val="00054DDB"/>
    <w:rsid w:val="00066482"/>
    <w:rsid w:val="00093D0F"/>
    <w:rsid w:val="000A2621"/>
    <w:rsid w:val="000A37D0"/>
    <w:rsid w:val="000B2BF0"/>
    <w:rsid w:val="000B6C75"/>
    <w:rsid w:val="000D0D5F"/>
    <w:rsid w:val="000D7277"/>
    <w:rsid w:val="00114E8C"/>
    <w:rsid w:val="00131718"/>
    <w:rsid w:val="00140717"/>
    <w:rsid w:val="00141A00"/>
    <w:rsid w:val="00144CC8"/>
    <w:rsid w:val="00166749"/>
    <w:rsid w:val="00171C74"/>
    <w:rsid w:val="00182126"/>
    <w:rsid w:val="00197B22"/>
    <w:rsid w:val="001C55AC"/>
    <w:rsid w:val="001D1C6B"/>
    <w:rsid w:val="001D5EB4"/>
    <w:rsid w:val="001F04A5"/>
    <w:rsid w:val="001F6733"/>
    <w:rsid w:val="0023098E"/>
    <w:rsid w:val="002358C8"/>
    <w:rsid w:val="002713C9"/>
    <w:rsid w:val="00292B27"/>
    <w:rsid w:val="002C570B"/>
    <w:rsid w:val="002E2F2B"/>
    <w:rsid w:val="003245DD"/>
    <w:rsid w:val="003447C3"/>
    <w:rsid w:val="00345C00"/>
    <w:rsid w:val="00346DEA"/>
    <w:rsid w:val="00366D0E"/>
    <w:rsid w:val="00367EA9"/>
    <w:rsid w:val="0037618E"/>
    <w:rsid w:val="00383020"/>
    <w:rsid w:val="003C10DA"/>
    <w:rsid w:val="003C228A"/>
    <w:rsid w:val="003C4150"/>
    <w:rsid w:val="003D1C16"/>
    <w:rsid w:val="003D3B48"/>
    <w:rsid w:val="003D4C16"/>
    <w:rsid w:val="003F779E"/>
    <w:rsid w:val="004015ED"/>
    <w:rsid w:val="004123BF"/>
    <w:rsid w:val="0041394B"/>
    <w:rsid w:val="0043226C"/>
    <w:rsid w:val="0047339B"/>
    <w:rsid w:val="00497CB9"/>
    <w:rsid w:val="004B275E"/>
    <w:rsid w:val="004D25D5"/>
    <w:rsid w:val="004D52C9"/>
    <w:rsid w:val="004E22D7"/>
    <w:rsid w:val="004F40B8"/>
    <w:rsid w:val="00525022"/>
    <w:rsid w:val="00542669"/>
    <w:rsid w:val="00545ABF"/>
    <w:rsid w:val="00546C4C"/>
    <w:rsid w:val="00547AC2"/>
    <w:rsid w:val="00552AE5"/>
    <w:rsid w:val="00556A86"/>
    <w:rsid w:val="00565EBC"/>
    <w:rsid w:val="005801F5"/>
    <w:rsid w:val="005C719C"/>
    <w:rsid w:val="005E5745"/>
    <w:rsid w:val="00600EDA"/>
    <w:rsid w:val="0061156D"/>
    <w:rsid w:val="0061416A"/>
    <w:rsid w:val="0061419B"/>
    <w:rsid w:val="006304AD"/>
    <w:rsid w:val="00631A7D"/>
    <w:rsid w:val="00637880"/>
    <w:rsid w:val="00650F94"/>
    <w:rsid w:val="00654A08"/>
    <w:rsid w:val="006809B9"/>
    <w:rsid w:val="006A0761"/>
    <w:rsid w:val="006B5966"/>
    <w:rsid w:val="006C3EB0"/>
    <w:rsid w:val="006F29FC"/>
    <w:rsid w:val="006F4FF6"/>
    <w:rsid w:val="00700149"/>
    <w:rsid w:val="007032EA"/>
    <w:rsid w:val="00720AAB"/>
    <w:rsid w:val="00721D97"/>
    <w:rsid w:val="0075779A"/>
    <w:rsid w:val="00767F06"/>
    <w:rsid w:val="007A58AA"/>
    <w:rsid w:val="007B798A"/>
    <w:rsid w:val="007C0C06"/>
    <w:rsid w:val="007C3FDE"/>
    <w:rsid w:val="007C64EE"/>
    <w:rsid w:val="007D2AFD"/>
    <w:rsid w:val="0080531A"/>
    <w:rsid w:val="00813DA1"/>
    <w:rsid w:val="00817880"/>
    <w:rsid w:val="00823E92"/>
    <w:rsid w:val="00850362"/>
    <w:rsid w:val="008574B0"/>
    <w:rsid w:val="008672C7"/>
    <w:rsid w:val="008A0EBD"/>
    <w:rsid w:val="008A55A2"/>
    <w:rsid w:val="008A57E3"/>
    <w:rsid w:val="008B6BF4"/>
    <w:rsid w:val="008C0967"/>
    <w:rsid w:val="008E28B4"/>
    <w:rsid w:val="008F4ED2"/>
    <w:rsid w:val="009042F5"/>
    <w:rsid w:val="00951A8C"/>
    <w:rsid w:val="00963BD1"/>
    <w:rsid w:val="00965CD3"/>
    <w:rsid w:val="0096714B"/>
    <w:rsid w:val="0098460A"/>
    <w:rsid w:val="00987D81"/>
    <w:rsid w:val="009B191D"/>
    <w:rsid w:val="009B1DCA"/>
    <w:rsid w:val="009C09B2"/>
    <w:rsid w:val="009C151B"/>
    <w:rsid w:val="00A0610B"/>
    <w:rsid w:val="00A505D3"/>
    <w:rsid w:val="00A626BD"/>
    <w:rsid w:val="00AA3015"/>
    <w:rsid w:val="00AA3440"/>
    <w:rsid w:val="00AA4ED5"/>
    <w:rsid w:val="00AB436D"/>
    <w:rsid w:val="00B16DCD"/>
    <w:rsid w:val="00B23371"/>
    <w:rsid w:val="00B34F97"/>
    <w:rsid w:val="00B3671D"/>
    <w:rsid w:val="00B55DED"/>
    <w:rsid w:val="00BD186E"/>
    <w:rsid w:val="00BE0FCE"/>
    <w:rsid w:val="00BF2F3D"/>
    <w:rsid w:val="00BF4B18"/>
    <w:rsid w:val="00BF4ECD"/>
    <w:rsid w:val="00BF5274"/>
    <w:rsid w:val="00BF7F96"/>
    <w:rsid w:val="00C14A9E"/>
    <w:rsid w:val="00C4513C"/>
    <w:rsid w:val="00C45ECE"/>
    <w:rsid w:val="00C65795"/>
    <w:rsid w:val="00C81FA8"/>
    <w:rsid w:val="00CD5E88"/>
    <w:rsid w:val="00CF7C08"/>
    <w:rsid w:val="00D31F67"/>
    <w:rsid w:val="00D3219B"/>
    <w:rsid w:val="00D3657C"/>
    <w:rsid w:val="00D519C8"/>
    <w:rsid w:val="00D669B9"/>
    <w:rsid w:val="00DD60B9"/>
    <w:rsid w:val="00DF7581"/>
    <w:rsid w:val="00E12D60"/>
    <w:rsid w:val="00E135D2"/>
    <w:rsid w:val="00E13747"/>
    <w:rsid w:val="00E33057"/>
    <w:rsid w:val="00E5265A"/>
    <w:rsid w:val="00E80742"/>
    <w:rsid w:val="00E8102A"/>
    <w:rsid w:val="00EB172E"/>
    <w:rsid w:val="00EB6355"/>
    <w:rsid w:val="00ED206E"/>
    <w:rsid w:val="00ED3399"/>
    <w:rsid w:val="00EE4782"/>
    <w:rsid w:val="00EF135C"/>
    <w:rsid w:val="00EF1A99"/>
    <w:rsid w:val="00EF7991"/>
    <w:rsid w:val="00F07CA9"/>
    <w:rsid w:val="00F175D3"/>
    <w:rsid w:val="00F22786"/>
    <w:rsid w:val="00F23C8D"/>
    <w:rsid w:val="00F245CA"/>
    <w:rsid w:val="00F2665D"/>
    <w:rsid w:val="00F375CB"/>
    <w:rsid w:val="00F40D0D"/>
    <w:rsid w:val="00F820C4"/>
    <w:rsid w:val="00F918C5"/>
    <w:rsid w:val="00FD6B1E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12" type="connector" idref="#_x0000_s1052"/>
        <o:r id="V:Rule13" type="connector" idref="#_x0000_s1091"/>
        <o:r id="V:Rule14" type="connector" idref="#_x0000_s1094"/>
        <o:r id="V:Rule15" type="connector" idref="#_x0000_s1095"/>
        <o:r id="V:Rule16" type="connector" idref="#_x0000_s1097"/>
        <o:r id="V:Rule17" type="connector" idref="#_x0000_s1090"/>
        <o:r id="V:Rule18" type="connector" idref="#_x0000_s1098"/>
        <o:r id="V:Rule19" type="connector" idref="#_x0000_s1101"/>
        <o:r id="V:Rule20" type="connector" idref="#_x0000_s1051"/>
        <o:r id="V:Rule21" type="connector" idref="#_x0000_s1086"/>
        <o:r id="V:Rule22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C9"/>
    <w:pPr>
      <w:tabs>
        <w:tab w:val="left" w:pos="709"/>
      </w:tabs>
      <w:spacing w:line="360" w:lineRule="auto"/>
      <w:jc w:val="both"/>
    </w:pPr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te-Ttulo">
    <w:name w:val="Ante-Título"/>
    <w:qFormat/>
    <w:rsid w:val="002713C9"/>
  </w:style>
  <w:style w:type="paragraph" w:styleId="Ttulo">
    <w:name w:val="Title"/>
    <w:basedOn w:val="Normal"/>
    <w:next w:val="Normal"/>
    <w:link w:val="TtuloCarcter"/>
    <w:uiPriority w:val="10"/>
    <w:qFormat/>
    <w:rsid w:val="00271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71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9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72C7"/>
    <w:rPr>
      <w:rFonts w:ascii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72C7"/>
    <w:rPr>
      <w:rFonts w:ascii="Arial" w:hAnsi="Arial" w:cs="Arial"/>
    </w:rPr>
  </w:style>
  <w:style w:type="table" w:styleId="Tabelacomgrelha">
    <w:name w:val="Table Grid"/>
    <w:basedOn w:val="Tabelanormal"/>
    <w:uiPriority w:val="59"/>
    <w:rsid w:val="0023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570B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C570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C570B"/>
    <w:rPr>
      <w:color w:val="800080" w:themeColor="followedHyperlink"/>
      <w:u w:val="single"/>
    </w:rPr>
  </w:style>
  <w:style w:type="paragraph" w:styleId="Legenda">
    <w:name w:val="caption"/>
    <w:basedOn w:val="Normal"/>
    <w:uiPriority w:val="35"/>
    <w:semiHidden/>
    <w:unhideWhenUsed/>
    <w:qFormat/>
    <w:rsid w:val="0037618E"/>
    <w:pPr>
      <w:tabs>
        <w:tab w:val="clear" w:pos="709"/>
      </w:tabs>
      <w:autoSpaceDE w:val="0"/>
      <w:autoSpaceDN w:val="0"/>
      <w:spacing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37618E"/>
    <w:pPr>
      <w:tabs>
        <w:tab w:val="clear" w:pos="709"/>
      </w:tabs>
      <w:autoSpaceDE w:val="0"/>
      <w:autoSpaceDN w:val="0"/>
      <w:spacing w:after="240"/>
    </w:pPr>
    <w:rPr>
      <w:rFonts w:eastAsia="Calibri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37618E"/>
    <w:rPr>
      <w:rFonts w:ascii="Arial" w:eastAsia="Calibri" w:hAnsi="Arial" w:cs="Arial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08C06.DC8A54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23D3A-90E0-4C53-9DD1-142E3EAE93E0}">
  <ds:schemaRefs/>
</ds:datastoreItem>
</file>

<file path=customXml/itemProps2.xml><?xml version="1.0" encoding="utf-8"?>
<ds:datastoreItem xmlns:ds="http://schemas.openxmlformats.org/officeDocument/2006/customXml" ds:itemID="{049D36EB-E538-44F3-B9DE-F1B6C3B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Afonso</dc:creator>
  <cp:keywords/>
  <dc:description/>
  <cp:lastModifiedBy>rsequeira</cp:lastModifiedBy>
  <cp:revision>11</cp:revision>
  <cp:lastPrinted>2015-11-20T11:52:00Z</cp:lastPrinted>
  <dcterms:created xsi:type="dcterms:W3CDTF">2016-04-06T11:45:00Z</dcterms:created>
  <dcterms:modified xsi:type="dcterms:W3CDTF">2016-04-12T14:43:00Z</dcterms:modified>
</cp:coreProperties>
</file>