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elha"/>
        <w:tblpPr w:leftFromText="141" w:rightFromText="141" w:vertAnchor="page" w:horzAnchor="margin" w:tblpY="2797"/>
        <w:tblW w:w="0" w:type="auto"/>
        <w:tblLook w:val="04A0"/>
      </w:tblPr>
      <w:tblGrid>
        <w:gridCol w:w="2674"/>
        <w:gridCol w:w="6367"/>
        <w:gridCol w:w="5177"/>
      </w:tblGrid>
      <w:tr w:rsidR="00D36B8E" w:rsidRPr="00752DBA" w:rsidTr="00464A2D">
        <w:trPr>
          <w:tblHeader/>
        </w:trPr>
        <w:tc>
          <w:tcPr>
            <w:tcW w:w="0" w:type="auto"/>
          </w:tcPr>
          <w:p w:rsidR="00D36B8E" w:rsidRPr="00752DBA" w:rsidRDefault="00D36B8E" w:rsidP="00ED3C9B">
            <w:pPr>
              <w:jc w:val="center"/>
              <w:rPr>
                <w:b/>
                <w:sz w:val="22"/>
                <w:szCs w:val="22"/>
              </w:rPr>
            </w:pPr>
            <w:r w:rsidRPr="00752DBA">
              <w:rPr>
                <w:b/>
                <w:sz w:val="22"/>
                <w:szCs w:val="22"/>
              </w:rPr>
              <w:t>Parâmetros constantes da fórmula</w:t>
            </w:r>
          </w:p>
        </w:tc>
        <w:tc>
          <w:tcPr>
            <w:tcW w:w="0" w:type="auto"/>
          </w:tcPr>
          <w:p w:rsidR="00D36B8E" w:rsidRPr="00752DBA" w:rsidRDefault="00D36B8E" w:rsidP="00ED3C9B">
            <w:pPr>
              <w:jc w:val="center"/>
              <w:rPr>
                <w:b/>
                <w:sz w:val="22"/>
                <w:szCs w:val="22"/>
              </w:rPr>
            </w:pPr>
            <w:r w:rsidRPr="00752DBA">
              <w:rPr>
                <w:b/>
                <w:sz w:val="22"/>
                <w:szCs w:val="22"/>
              </w:rPr>
              <w:t>Problemas detetados</w:t>
            </w:r>
          </w:p>
        </w:tc>
        <w:tc>
          <w:tcPr>
            <w:tcW w:w="0" w:type="auto"/>
          </w:tcPr>
          <w:p w:rsidR="00D36B8E" w:rsidRPr="00752DBA" w:rsidRDefault="00D36B8E" w:rsidP="00ED3C9B">
            <w:pPr>
              <w:jc w:val="center"/>
              <w:rPr>
                <w:b/>
                <w:sz w:val="22"/>
                <w:szCs w:val="22"/>
              </w:rPr>
            </w:pPr>
            <w:r w:rsidRPr="00752DBA">
              <w:rPr>
                <w:b/>
                <w:sz w:val="22"/>
                <w:szCs w:val="22"/>
              </w:rPr>
              <w:t xml:space="preserve">Solução Proposta </w:t>
            </w:r>
          </w:p>
        </w:tc>
      </w:tr>
      <w:tr w:rsidR="00D36B8E" w:rsidRPr="00752DBA" w:rsidTr="00464A2D">
        <w:trPr>
          <w:tblHeader/>
        </w:trPr>
        <w:tc>
          <w:tcPr>
            <w:tcW w:w="0" w:type="auto"/>
          </w:tcPr>
          <w:p w:rsidR="00D36B8E" w:rsidRPr="00752DBA" w:rsidRDefault="00D36B8E" w:rsidP="00ED3C9B">
            <w:pPr>
              <w:rPr>
                <w:sz w:val="22"/>
                <w:szCs w:val="22"/>
              </w:rPr>
            </w:pPr>
            <w:r w:rsidRPr="00752DBA">
              <w:rPr>
                <w:b/>
                <w:sz w:val="22"/>
                <w:szCs w:val="22"/>
              </w:rPr>
              <w:t xml:space="preserve">SDR – </w:t>
            </w:r>
            <w:r w:rsidRPr="00752DBA">
              <w:rPr>
                <w:sz w:val="22"/>
                <w:szCs w:val="22"/>
              </w:rPr>
              <w:t xml:space="preserve">razão de </w:t>
            </w:r>
            <w:r w:rsidR="00ED3C9B" w:rsidRPr="00752DBA">
              <w:rPr>
                <w:sz w:val="22"/>
                <w:szCs w:val="22"/>
              </w:rPr>
              <w:t>cedência</w:t>
            </w:r>
            <w:r w:rsidRPr="00752DBA">
              <w:rPr>
                <w:sz w:val="22"/>
                <w:szCs w:val="22"/>
              </w:rPr>
              <w:t xml:space="preserve"> de sedimentos</w:t>
            </w:r>
          </w:p>
          <w:p w:rsidR="00752DBA" w:rsidRPr="00752DBA" w:rsidRDefault="00752DBA" w:rsidP="00ED3C9B">
            <w:pPr>
              <w:rPr>
                <w:b/>
                <w:sz w:val="22"/>
                <w:szCs w:val="22"/>
              </w:rPr>
            </w:pPr>
            <w:r w:rsidRPr="00752DBA">
              <w:rPr>
                <w:sz w:val="22"/>
                <w:szCs w:val="22"/>
              </w:rPr>
              <w:t>SDR=0,332A</w:t>
            </w:r>
            <w:r w:rsidRPr="00752DBA">
              <w:rPr>
                <w:sz w:val="22"/>
                <w:szCs w:val="22"/>
                <w:vertAlign w:val="subscript"/>
              </w:rPr>
              <w:t>b</w:t>
            </w:r>
            <w:r w:rsidRPr="00752DBA">
              <w:rPr>
                <w:sz w:val="22"/>
                <w:szCs w:val="22"/>
                <w:vertAlign w:val="superscript"/>
              </w:rPr>
              <w:t>-0,2236</w:t>
            </w:r>
          </w:p>
        </w:tc>
        <w:tc>
          <w:tcPr>
            <w:tcW w:w="0" w:type="auto"/>
          </w:tcPr>
          <w:p w:rsidR="00D36B8E" w:rsidRPr="00752DBA" w:rsidRDefault="00752DBA" w:rsidP="00212BDD">
            <w:pPr>
              <w:jc w:val="both"/>
              <w:rPr>
                <w:sz w:val="22"/>
                <w:szCs w:val="22"/>
              </w:rPr>
            </w:pPr>
            <w:r w:rsidRPr="00752DBA">
              <w:rPr>
                <w:sz w:val="22"/>
                <w:szCs w:val="22"/>
              </w:rPr>
              <w:t xml:space="preserve">1 - </w:t>
            </w:r>
            <w:r w:rsidR="00ED3C9B" w:rsidRPr="00752DBA">
              <w:rPr>
                <w:sz w:val="22"/>
                <w:szCs w:val="22"/>
              </w:rPr>
              <w:t>A utilização deste fa</w:t>
            </w:r>
            <w:r w:rsidR="00D36B8E" w:rsidRPr="00752DBA">
              <w:rPr>
                <w:sz w:val="22"/>
                <w:szCs w:val="22"/>
              </w:rPr>
              <w:t xml:space="preserve">tor considera que a “recarga” de sedimentos conduz </w:t>
            </w:r>
            <w:r w:rsidR="00ED3C9B" w:rsidRPr="00752DBA">
              <w:rPr>
                <w:sz w:val="22"/>
                <w:szCs w:val="22"/>
              </w:rPr>
              <w:t>de imedia</w:t>
            </w:r>
            <w:r w:rsidR="00D36B8E" w:rsidRPr="00752DBA">
              <w:rPr>
                <w:sz w:val="22"/>
                <w:szCs w:val="22"/>
              </w:rPr>
              <w:t>to à formação de solo, assumindo que se há uma parte do solo que se perde, h</w:t>
            </w:r>
            <w:r w:rsidR="00ED3C9B" w:rsidRPr="00752DBA">
              <w:rPr>
                <w:sz w:val="22"/>
                <w:szCs w:val="22"/>
              </w:rPr>
              <w:t>á de imediato solo que se ganha,</w:t>
            </w:r>
            <w:r w:rsidR="00D36B8E" w:rsidRPr="00752DBA">
              <w:rPr>
                <w:sz w:val="22"/>
                <w:szCs w:val="22"/>
              </w:rPr>
              <w:t xml:space="preserve"> o que muitas vezes não corresponde à realidade. </w:t>
            </w:r>
          </w:p>
          <w:p w:rsidR="00D36B8E" w:rsidRPr="00752DBA" w:rsidRDefault="00752DBA" w:rsidP="00212BDD">
            <w:pPr>
              <w:jc w:val="both"/>
              <w:rPr>
                <w:sz w:val="22"/>
                <w:szCs w:val="22"/>
              </w:rPr>
            </w:pPr>
            <w:r w:rsidRPr="00752DBA">
              <w:rPr>
                <w:sz w:val="22"/>
                <w:szCs w:val="22"/>
              </w:rPr>
              <w:t xml:space="preserve">2 - </w:t>
            </w:r>
            <w:commentRangeStart w:id="0"/>
            <w:r w:rsidR="00D36B8E" w:rsidRPr="00752DBA">
              <w:rPr>
                <w:sz w:val="22"/>
                <w:szCs w:val="22"/>
              </w:rPr>
              <w:t xml:space="preserve">Por outro lado </w:t>
            </w:r>
            <w:r w:rsidR="00ED3C9B" w:rsidRPr="00752DBA">
              <w:rPr>
                <w:sz w:val="22"/>
                <w:szCs w:val="22"/>
              </w:rPr>
              <w:t>a consideração deste fa</w:t>
            </w:r>
            <w:r w:rsidRPr="00752DBA">
              <w:rPr>
                <w:sz w:val="22"/>
                <w:szCs w:val="22"/>
              </w:rPr>
              <w:t xml:space="preserve">tor parte do princípio </w:t>
            </w:r>
            <w:r w:rsidR="00D36B8E" w:rsidRPr="00752DBA">
              <w:rPr>
                <w:sz w:val="22"/>
                <w:szCs w:val="22"/>
              </w:rPr>
              <w:t xml:space="preserve">que as zonas mais a jusante (que recebem, segundo este critério, mais sedimentos) sejam menos afetadas pela erosão, o que não corresponde </w:t>
            </w:r>
            <w:r w:rsidRPr="00752DBA">
              <w:rPr>
                <w:sz w:val="22"/>
                <w:szCs w:val="22"/>
              </w:rPr>
              <w:t xml:space="preserve">necessariamente </w:t>
            </w:r>
            <w:r w:rsidR="00D36B8E" w:rsidRPr="00752DBA">
              <w:rPr>
                <w:sz w:val="22"/>
                <w:szCs w:val="22"/>
              </w:rPr>
              <w:t xml:space="preserve">à realidade, pois nestes locais </w:t>
            </w:r>
            <w:r w:rsidR="00ED3C9B" w:rsidRPr="00752DBA">
              <w:rPr>
                <w:sz w:val="22"/>
                <w:szCs w:val="22"/>
              </w:rPr>
              <w:t xml:space="preserve">a velocidade de escoamento </w:t>
            </w:r>
            <w:r w:rsidRPr="00752DBA">
              <w:rPr>
                <w:sz w:val="22"/>
                <w:szCs w:val="22"/>
              </w:rPr>
              <w:t xml:space="preserve">pode atingir valores </w:t>
            </w:r>
            <w:r w:rsidR="00ED3C9B" w:rsidRPr="00752DBA">
              <w:rPr>
                <w:sz w:val="22"/>
                <w:szCs w:val="22"/>
              </w:rPr>
              <w:t>superior</w:t>
            </w:r>
            <w:r w:rsidRPr="00752DBA">
              <w:rPr>
                <w:sz w:val="22"/>
                <w:szCs w:val="22"/>
              </w:rPr>
              <w:t>es e haver menor atrito, levando a uma</w:t>
            </w:r>
            <w:r w:rsidR="00D36B8E" w:rsidRPr="00752DBA">
              <w:rPr>
                <w:sz w:val="22"/>
                <w:szCs w:val="22"/>
              </w:rPr>
              <w:t xml:space="preserve"> perda de solo</w:t>
            </w:r>
            <w:r w:rsidR="00ED3C9B" w:rsidRPr="00752DBA">
              <w:rPr>
                <w:sz w:val="22"/>
                <w:szCs w:val="22"/>
              </w:rPr>
              <w:t>s</w:t>
            </w:r>
            <w:r w:rsidR="00D36B8E" w:rsidRPr="00752DBA">
              <w:rPr>
                <w:sz w:val="22"/>
                <w:szCs w:val="22"/>
              </w:rPr>
              <w:t xml:space="preserve"> </w:t>
            </w:r>
            <w:r w:rsidR="00ED3C9B" w:rsidRPr="00752DBA">
              <w:rPr>
                <w:sz w:val="22"/>
                <w:szCs w:val="22"/>
              </w:rPr>
              <w:t>inclusivamente</w:t>
            </w:r>
            <w:r w:rsidR="00D36B8E" w:rsidRPr="00752DBA">
              <w:rPr>
                <w:sz w:val="22"/>
                <w:szCs w:val="22"/>
              </w:rPr>
              <w:t xml:space="preserve"> </w:t>
            </w:r>
            <w:proofErr w:type="gramStart"/>
            <w:r w:rsidR="00D36B8E" w:rsidRPr="00752DBA">
              <w:rPr>
                <w:sz w:val="22"/>
                <w:szCs w:val="22"/>
              </w:rPr>
              <w:t xml:space="preserve">maior.  </w:t>
            </w:r>
            <w:commentRangeEnd w:id="0"/>
            <w:proofErr w:type="gramEnd"/>
            <w:r w:rsidRPr="00752DBA">
              <w:rPr>
                <w:rStyle w:val="Refdecomentrio"/>
                <w:sz w:val="22"/>
                <w:szCs w:val="22"/>
                <w:lang w:eastAsia="en-US"/>
              </w:rPr>
              <w:commentReference w:id="0"/>
            </w:r>
          </w:p>
          <w:p w:rsidR="00E37FB8" w:rsidRPr="00752DBA" w:rsidRDefault="00752DBA" w:rsidP="0069452F">
            <w:pPr>
              <w:jc w:val="both"/>
              <w:rPr>
                <w:rFonts w:asciiTheme="minorHAnsi" w:hAnsiTheme="minorHAnsi"/>
                <w:color w:val="632423" w:themeColor="accent2" w:themeShade="80"/>
                <w:sz w:val="22"/>
                <w:szCs w:val="22"/>
              </w:rPr>
            </w:pPr>
            <w:r w:rsidRPr="00752DBA">
              <w:rPr>
                <w:rFonts w:asciiTheme="minorHAnsi" w:hAnsiTheme="minorHAnsi"/>
                <w:color w:val="632423" w:themeColor="accent2" w:themeShade="80"/>
                <w:sz w:val="22"/>
                <w:szCs w:val="22"/>
              </w:rPr>
              <w:t xml:space="preserve"> 3- </w:t>
            </w:r>
            <w:r w:rsidR="00E37FB8" w:rsidRPr="00752DBA">
              <w:rPr>
                <w:rFonts w:asciiTheme="minorHAnsi" w:hAnsiTheme="minorHAnsi"/>
                <w:color w:val="632423" w:themeColor="accent2" w:themeShade="80"/>
                <w:sz w:val="22"/>
                <w:szCs w:val="22"/>
              </w:rPr>
              <w:t>Não é explicado como se encontra o valor da área de drenagem (</w:t>
            </w:r>
            <w:proofErr w:type="spellStart"/>
            <w:r w:rsidR="00E37FB8" w:rsidRPr="00752DBA">
              <w:rPr>
                <w:rFonts w:asciiTheme="minorHAnsi" w:hAnsiTheme="minorHAnsi"/>
                <w:color w:val="632423" w:themeColor="accent2" w:themeShade="80"/>
                <w:sz w:val="22"/>
                <w:szCs w:val="22"/>
              </w:rPr>
              <w:t>A</w:t>
            </w:r>
            <w:r w:rsidR="00E37FB8" w:rsidRPr="00752DBA">
              <w:rPr>
                <w:rFonts w:asciiTheme="minorHAnsi" w:hAnsiTheme="minorHAnsi"/>
                <w:color w:val="632423" w:themeColor="accent2" w:themeShade="80"/>
                <w:sz w:val="22"/>
                <w:szCs w:val="22"/>
                <w:vertAlign w:val="subscript"/>
              </w:rPr>
              <w:t>b</w:t>
            </w:r>
            <w:proofErr w:type="spellEnd"/>
            <w:r w:rsidR="00E37FB8" w:rsidRPr="00752DBA">
              <w:rPr>
                <w:rFonts w:asciiTheme="minorHAnsi" w:hAnsiTheme="minorHAnsi"/>
                <w:color w:val="632423" w:themeColor="accent2" w:themeShade="80"/>
                <w:sz w:val="22"/>
                <w:szCs w:val="22"/>
              </w:rPr>
              <w:t>), utilizado no cálculo da Razão de Cedência de Sedimentos (SDR).</w:t>
            </w:r>
          </w:p>
          <w:p w:rsidR="00752DBA" w:rsidRPr="00752DBA" w:rsidRDefault="00752DBA" w:rsidP="00752DBA">
            <w:pPr>
              <w:jc w:val="both"/>
              <w:rPr>
                <w:sz w:val="22"/>
                <w:szCs w:val="22"/>
              </w:rPr>
            </w:pPr>
            <w:commentRangeStart w:id="1"/>
            <w:r w:rsidRPr="00752DBA">
              <w:rPr>
                <w:sz w:val="22"/>
                <w:szCs w:val="22"/>
              </w:rPr>
              <w:t>A fórmula usada na legislação para o SDR não está adaptada à escala que é utilizada para a delimitação da REN. Por exemplo, quando se obt</w:t>
            </w:r>
            <w:r>
              <w:rPr>
                <w:sz w:val="22"/>
                <w:szCs w:val="22"/>
              </w:rPr>
              <w:t>ê</w:t>
            </w:r>
            <w:r w:rsidRPr="00752DBA">
              <w:rPr>
                <w:sz w:val="22"/>
                <w:szCs w:val="22"/>
              </w:rPr>
              <w:t xml:space="preserve">m valores do SDR forem superiores a 1 está a subverter o significado e neste caso tem que haver uma classificação. </w:t>
            </w:r>
            <w:commentRangeEnd w:id="1"/>
            <w:r w:rsidRPr="00752DBA">
              <w:rPr>
                <w:rStyle w:val="Refdecomentrio"/>
                <w:sz w:val="22"/>
                <w:szCs w:val="22"/>
                <w:lang w:eastAsia="en-US"/>
              </w:rPr>
              <w:commentReference w:id="1"/>
            </w:r>
          </w:p>
          <w:p w:rsidR="00752DBA" w:rsidRPr="00752DBA" w:rsidRDefault="00752DBA" w:rsidP="0069452F">
            <w:pPr>
              <w:jc w:val="both"/>
              <w:rPr>
                <w:sz w:val="22"/>
                <w:szCs w:val="22"/>
              </w:rPr>
            </w:pPr>
          </w:p>
        </w:tc>
        <w:tc>
          <w:tcPr>
            <w:tcW w:w="0" w:type="auto"/>
          </w:tcPr>
          <w:p w:rsidR="00752DBA" w:rsidRPr="00752DBA" w:rsidRDefault="00752DBA" w:rsidP="00ED3C9B">
            <w:pPr>
              <w:rPr>
                <w:rFonts w:asciiTheme="minorHAnsi" w:hAnsiTheme="minorHAnsi"/>
                <w:sz w:val="22"/>
                <w:szCs w:val="22"/>
              </w:rPr>
            </w:pPr>
            <w:r w:rsidRPr="00752DBA">
              <w:rPr>
                <w:rFonts w:asciiTheme="minorHAnsi" w:hAnsiTheme="minorHAnsi"/>
                <w:sz w:val="22"/>
                <w:szCs w:val="22"/>
              </w:rPr>
              <w:t xml:space="preserve">1 </w:t>
            </w:r>
            <w:proofErr w:type="gramStart"/>
            <w:r w:rsidRPr="00752DBA">
              <w:rPr>
                <w:rFonts w:asciiTheme="minorHAnsi" w:hAnsiTheme="minorHAnsi"/>
                <w:sz w:val="22"/>
                <w:szCs w:val="22"/>
              </w:rPr>
              <w:t>e</w:t>
            </w:r>
            <w:proofErr w:type="gramEnd"/>
            <w:r w:rsidRPr="00752DBA">
              <w:rPr>
                <w:rFonts w:asciiTheme="minorHAnsi" w:hAnsiTheme="minorHAnsi"/>
                <w:sz w:val="22"/>
                <w:szCs w:val="22"/>
              </w:rPr>
              <w:t xml:space="preserve"> 2 – Considerar SDR=1</w:t>
            </w:r>
          </w:p>
          <w:p w:rsidR="00D36B8E" w:rsidRPr="00752DBA" w:rsidRDefault="00752DBA" w:rsidP="00ED3C9B">
            <w:pPr>
              <w:rPr>
                <w:sz w:val="22"/>
                <w:szCs w:val="22"/>
              </w:rPr>
            </w:pPr>
            <w:r w:rsidRPr="00752DBA">
              <w:rPr>
                <w:rFonts w:asciiTheme="minorHAnsi" w:hAnsiTheme="minorHAnsi"/>
                <w:color w:val="632423" w:themeColor="accent2" w:themeShade="80"/>
                <w:sz w:val="22"/>
                <w:szCs w:val="22"/>
              </w:rPr>
              <w:t xml:space="preserve">3 - </w:t>
            </w:r>
            <w:commentRangeStart w:id="2"/>
            <w:r w:rsidR="00E37FB8" w:rsidRPr="00752DBA">
              <w:rPr>
                <w:rFonts w:asciiTheme="minorHAnsi" w:hAnsiTheme="minorHAnsi"/>
                <w:color w:val="632423" w:themeColor="accent2" w:themeShade="80"/>
                <w:sz w:val="22"/>
                <w:szCs w:val="22"/>
              </w:rPr>
              <w:t xml:space="preserve">O </w:t>
            </w:r>
            <w:proofErr w:type="spellStart"/>
            <w:r w:rsidR="00E37FB8" w:rsidRPr="00752DBA">
              <w:rPr>
                <w:rFonts w:asciiTheme="minorHAnsi" w:hAnsiTheme="minorHAnsi"/>
                <w:color w:val="632423" w:themeColor="accent2" w:themeShade="80"/>
                <w:sz w:val="22"/>
                <w:szCs w:val="22"/>
              </w:rPr>
              <w:t>A</w:t>
            </w:r>
            <w:r w:rsidR="00E37FB8" w:rsidRPr="00752DBA">
              <w:rPr>
                <w:rFonts w:asciiTheme="minorHAnsi" w:hAnsiTheme="minorHAnsi"/>
                <w:color w:val="632423" w:themeColor="accent2" w:themeShade="80"/>
                <w:sz w:val="22"/>
                <w:szCs w:val="22"/>
                <w:vertAlign w:val="subscript"/>
              </w:rPr>
              <w:t>b</w:t>
            </w:r>
            <w:proofErr w:type="spellEnd"/>
            <w:r w:rsidR="00E37FB8" w:rsidRPr="00752DBA">
              <w:rPr>
                <w:rFonts w:asciiTheme="minorHAnsi" w:hAnsiTheme="minorHAnsi"/>
                <w:color w:val="632423" w:themeColor="accent2" w:themeShade="80"/>
                <w:sz w:val="22"/>
                <w:szCs w:val="22"/>
              </w:rPr>
              <w:t xml:space="preserve"> é calculado a partir do Mapa do Sentido dos Fluxos e corresponde ao valor da área de drenagem, em Km</w:t>
            </w:r>
            <w:r w:rsidR="00E37FB8" w:rsidRPr="00752DBA">
              <w:rPr>
                <w:rFonts w:asciiTheme="minorHAnsi" w:hAnsiTheme="minorHAnsi"/>
                <w:color w:val="632423" w:themeColor="accent2" w:themeShade="80"/>
                <w:sz w:val="22"/>
                <w:szCs w:val="22"/>
                <w:vertAlign w:val="superscript"/>
              </w:rPr>
              <w:t>2</w:t>
            </w:r>
            <w:r w:rsidR="00E37FB8" w:rsidRPr="00752DBA">
              <w:rPr>
                <w:rFonts w:asciiTheme="minorHAnsi" w:hAnsiTheme="minorHAnsi"/>
                <w:color w:val="632423" w:themeColor="accent2" w:themeShade="80"/>
                <w:sz w:val="22"/>
                <w:szCs w:val="22"/>
              </w:rPr>
              <w:t xml:space="preserve">. A área de drenagem corresponde à bacia do </w:t>
            </w:r>
            <w:proofErr w:type="gramStart"/>
            <w:r w:rsidR="00E37FB8" w:rsidRPr="00752DBA">
              <w:rPr>
                <w:rFonts w:asciiTheme="minorHAnsi" w:hAnsiTheme="minorHAnsi"/>
                <w:color w:val="632423" w:themeColor="accent2" w:themeShade="80"/>
                <w:sz w:val="22"/>
                <w:szCs w:val="22"/>
              </w:rPr>
              <w:t>pixel</w:t>
            </w:r>
            <w:proofErr w:type="gramEnd"/>
            <w:r w:rsidR="00E37FB8" w:rsidRPr="00752DBA">
              <w:rPr>
                <w:rFonts w:asciiTheme="minorHAnsi" w:hAnsiTheme="minorHAnsi"/>
                <w:color w:val="632423" w:themeColor="accent2" w:themeShade="80"/>
                <w:sz w:val="22"/>
                <w:szCs w:val="22"/>
              </w:rPr>
              <w:t xml:space="preserve">: o seu valor, para cada </w:t>
            </w:r>
            <w:proofErr w:type="gramStart"/>
            <w:r w:rsidR="00E37FB8" w:rsidRPr="00752DBA">
              <w:rPr>
                <w:rFonts w:asciiTheme="minorHAnsi" w:hAnsiTheme="minorHAnsi"/>
                <w:color w:val="632423" w:themeColor="accent2" w:themeShade="80"/>
                <w:sz w:val="22"/>
                <w:szCs w:val="22"/>
              </w:rPr>
              <w:t>pixel</w:t>
            </w:r>
            <w:proofErr w:type="gramEnd"/>
            <w:r w:rsidR="00E37FB8" w:rsidRPr="00752DBA">
              <w:rPr>
                <w:rFonts w:asciiTheme="minorHAnsi" w:hAnsiTheme="minorHAnsi"/>
                <w:color w:val="632423" w:themeColor="accent2" w:themeShade="80"/>
                <w:sz w:val="22"/>
                <w:szCs w:val="22"/>
              </w:rPr>
              <w:t>, é determinado pelo produto entre: o número de pixéis / células acumulado</w:t>
            </w:r>
            <w:r w:rsidR="001F4F6E">
              <w:rPr>
                <w:rFonts w:asciiTheme="minorHAnsi" w:hAnsiTheme="minorHAnsi"/>
                <w:color w:val="632423" w:themeColor="accent2" w:themeShade="80"/>
                <w:sz w:val="22"/>
                <w:szCs w:val="22"/>
              </w:rPr>
              <w:t xml:space="preserve"> x o valor da área</w:t>
            </w:r>
            <w:r w:rsidR="00E37FB8" w:rsidRPr="00752DBA">
              <w:rPr>
                <w:rFonts w:asciiTheme="minorHAnsi" w:hAnsiTheme="minorHAnsi"/>
                <w:color w:val="632423" w:themeColor="accent2" w:themeShade="80"/>
                <w:sz w:val="22"/>
                <w:szCs w:val="22"/>
              </w:rPr>
              <w:t xml:space="preserve">, desde o setor mais a montante que drenam para o </w:t>
            </w:r>
            <w:proofErr w:type="gramStart"/>
            <w:r w:rsidR="00E37FB8" w:rsidRPr="00752DBA">
              <w:rPr>
                <w:rFonts w:asciiTheme="minorHAnsi" w:hAnsiTheme="minorHAnsi"/>
                <w:color w:val="632423" w:themeColor="accent2" w:themeShade="80"/>
                <w:sz w:val="22"/>
                <w:szCs w:val="22"/>
              </w:rPr>
              <w:t>pixel</w:t>
            </w:r>
            <w:proofErr w:type="gramEnd"/>
            <w:r w:rsidR="00E37FB8" w:rsidRPr="00752DBA">
              <w:rPr>
                <w:rFonts w:asciiTheme="minorHAnsi" w:hAnsiTheme="minorHAnsi"/>
                <w:color w:val="632423" w:themeColor="accent2" w:themeShade="80"/>
                <w:sz w:val="22"/>
                <w:szCs w:val="22"/>
              </w:rPr>
              <w:t>. (GM CCDR LVT)</w:t>
            </w:r>
            <w:commentRangeEnd w:id="2"/>
            <w:r w:rsidR="00E37FB8" w:rsidRPr="00752DBA">
              <w:rPr>
                <w:rStyle w:val="Refdecomentrio"/>
                <w:sz w:val="22"/>
                <w:szCs w:val="22"/>
                <w:lang w:eastAsia="en-US"/>
              </w:rPr>
              <w:commentReference w:id="2"/>
            </w:r>
          </w:p>
        </w:tc>
      </w:tr>
      <w:tr w:rsidR="00D36B8E" w:rsidRPr="00752DBA" w:rsidTr="00464A2D">
        <w:trPr>
          <w:tblHeader/>
        </w:trPr>
        <w:tc>
          <w:tcPr>
            <w:tcW w:w="0" w:type="auto"/>
          </w:tcPr>
          <w:p w:rsidR="00D36B8E" w:rsidRPr="00752DBA" w:rsidRDefault="00D36B8E" w:rsidP="002A485D">
            <w:pPr>
              <w:rPr>
                <w:sz w:val="22"/>
                <w:szCs w:val="22"/>
              </w:rPr>
            </w:pPr>
            <w:r w:rsidRPr="00752DBA">
              <w:rPr>
                <w:sz w:val="22"/>
                <w:szCs w:val="22"/>
              </w:rPr>
              <w:lastRenderedPageBreak/>
              <w:t xml:space="preserve"> </w:t>
            </w:r>
            <w:r w:rsidRPr="00752DBA">
              <w:rPr>
                <w:b/>
                <w:bCs/>
                <w:sz w:val="22"/>
                <w:szCs w:val="22"/>
              </w:rPr>
              <w:t xml:space="preserve">R </w:t>
            </w:r>
            <w:r w:rsidRPr="00752DBA">
              <w:rPr>
                <w:sz w:val="22"/>
                <w:szCs w:val="22"/>
              </w:rPr>
              <w:t xml:space="preserve">- erosividade da </w:t>
            </w:r>
            <w:r w:rsidR="002A485D" w:rsidRPr="00752DBA">
              <w:rPr>
                <w:sz w:val="22"/>
                <w:szCs w:val="22"/>
              </w:rPr>
              <w:t>precipitação</w:t>
            </w:r>
          </w:p>
        </w:tc>
        <w:tc>
          <w:tcPr>
            <w:tcW w:w="0" w:type="auto"/>
          </w:tcPr>
          <w:p w:rsidR="00D3527C" w:rsidRPr="00752DBA" w:rsidRDefault="00444FA8" w:rsidP="00E35DF4">
            <w:pPr>
              <w:jc w:val="both"/>
              <w:rPr>
                <w:sz w:val="22"/>
                <w:szCs w:val="22"/>
              </w:rPr>
            </w:pPr>
            <w:r w:rsidRPr="00752DBA">
              <w:rPr>
                <w:sz w:val="22"/>
                <w:szCs w:val="22"/>
              </w:rPr>
              <w:t xml:space="preserve"> 1 - </w:t>
            </w:r>
            <w:r w:rsidR="00D36B8E" w:rsidRPr="00752DBA">
              <w:rPr>
                <w:sz w:val="22"/>
                <w:szCs w:val="22"/>
              </w:rPr>
              <w:t xml:space="preserve">Os valores para o cálculo de R </w:t>
            </w:r>
            <w:r w:rsidR="002A485D" w:rsidRPr="00752DBA">
              <w:rPr>
                <w:sz w:val="22"/>
                <w:szCs w:val="22"/>
              </w:rPr>
              <w:t xml:space="preserve">constantes do mapa de </w:t>
            </w:r>
            <w:proofErr w:type="spellStart"/>
            <w:r w:rsidR="00BB1BC2" w:rsidRPr="00752DBA">
              <w:rPr>
                <w:sz w:val="22"/>
                <w:szCs w:val="22"/>
              </w:rPr>
              <w:t>i</w:t>
            </w:r>
            <w:r w:rsidR="002A485D" w:rsidRPr="00752DBA">
              <w:rPr>
                <w:sz w:val="22"/>
                <w:szCs w:val="22"/>
              </w:rPr>
              <w:t>soerodentes</w:t>
            </w:r>
            <w:proofErr w:type="spellEnd"/>
            <w:r w:rsidR="00E35DF4">
              <w:rPr>
                <w:sz w:val="22"/>
                <w:szCs w:val="22"/>
              </w:rPr>
              <w:t>,</w:t>
            </w:r>
            <w:r w:rsidR="002A485D" w:rsidRPr="00752DBA">
              <w:rPr>
                <w:sz w:val="22"/>
                <w:szCs w:val="22"/>
              </w:rPr>
              <w:t xml:space="preserve"> disponível no portal SNIRH, </w:t>
            </w:r>
            <w:r w:rsidR="00D36B8E" w:rsidRPr="00752DBA">
              <w:rPr>
                <w:sz w:val="22"/>
                <w:szCs w:val="22"/>
              </w:rPr>
              <w:t>estão em unidades americanas</w:t>
            </w:r>
            <w:r w:rsidR="00212BDD" w:rsidRPr="00752DBA">
              <w:rPr>
                <w:sz w:val="22"/>
                <w:szCs w:val="22"/>
              </w:rPr>
              <w:t xml:space="preserve"> (</w:t>
            </w:r>
            <w:proofErr w:type="spellStart"/>
            <w:proofErr w:type="gramStart"/>
            <w:r w:rsidR="00212BDD" w:rsidRPr="00752DBA">
              <w:rPr>
                <w:sz w:val="22"/>
                <w:szCs w:val="22"/>
              </w:rPr>
              <w:t>ton</w:t>
            </w:r>
            <w:proofErr w:type="spellEnd"/>
            <w:r w:rsidR="00212BDD" w:rsidRPr="00752DBA">
              <w:rPr>
                <w:sz w:val="22"/>
                <w:szCs w:val="22"/>
              </w:rPr>
              <w:t>[americanas</w:t>
            </w:r>
            <w:proofErr w:type="gramEnd"/>
            <w:r w:rsidR="00212BDD" w:rsidRPr="00752DBA">
              <w:rPr>
                <w:sz w:val="22"/>
                <w:szCs w:val="22"/>
              </w:rPr>
              <w:t>].pé/acre</w:t>
            </w:r>
            <w:r w:rsidR="002A485D" w:rsidRPr="00752DBA">
              <w:rPr>
                <w:sz w:val="22"/>
                <w:szCs w:val="22"/>
              </w:rPr>
              <w:t>)</w:t>
            </w:r>
            <w:r w:rsidR="00D36B8E" w:rsidRPr="00752DBA">
              <w:rPr>
                <w:sz w:val="22"/>
                <w:szCs w:val="22"/>
              </w:rPr>
              <w:t xml:space="preserve">. </w:t>
            </w:r>
            <w:r w:rsidR="00D3527C" w:rsidRPr="00752DBA">
              <w:rPr>
                <w:sz w:val="22"/>
                <w:szCs w:val="22"/>
              </w:rPr>
              <w:t xml:space="preserve"> </w:t>
            </w:r>
            <w:r w:rsidR="00D36B8E" w:rsidRPr="00752DBA">
              <w:rPr>
                <w:sz w:val="22"/>
                <w:szCs w:val="22"/>
              </w:rPr>
              <w:t xml:space="preserve">É sempre necessário proceder à sua conversão sendo mais um fator de entropia no cálculo do resultado. </w:t>
            </w:r>
            <w:r w:rsidR="00D3527C" w:rsidRPr="00752DBA">
              <w:rPr>
                <w:sz w:val="22"/>
                <w:szCs w:val="22"/>
              </w:rPr>
              <w:t>Na EUPS</w:t>
            </w:r>
            <w:r w:rsidR="002D09E4" w:rsidRPr="00752DBA">
              <w:rPr>
                <w:sz w:val="22"/>
                <w:szCs w:val="22"/>
              </w:rPr>
              <w:t>,</w:t>
            </w:r>
            <w:r w:rsidR="00D3527C" w:rsidRPr="00752DBA">
              <w:rPr>
                <w:sz w:val="22"/>
                <w:szCs w:val="22"/>
              </w:rPr>
              <w:t xml:space="preserve"> a utilização da constante 2,24 destina-se a converter as unidades do valor de R para o </w:t>
            </w:r>
            <w:r w:rsidR="00BC48DD" w:rsidRPr="00752DBA">
              <w:rPr>
                <w:sz w:val="22"/>
                <w:szCs w:val="22"/>
              </w:rPr>
              <w:t>Sistema Internacional *</w:t>
            </w:r>
            <w:r w:rsidR="00D3527C" w:rsidRPr="00752DBA">
              <w:rPr>
                <w:sz w:val="22"/>
                <w:szCs w:val="22"/>
              </w:rPr>
              <w:t>(t/</w:t>
            </w:r>
            <w:proofErr w:type="spellStart"/>
            <w:r w:rsidR="00D3527C" w:rsidRPr="00752DBA">
              <w:rPr>
                <w:sz w:val="22"/>
                <w:szCs w:val="22"/>
              </w:rPr>
              <w:t>ha.ano</w:t>
            </w:r>
            <w:proofErr w:type="spellEnd"/>
            <w:r w:rsidR="00D3527C" w:rsidRPr="00752DBA">
              <w:rPr>
                <w:sz w:val="22"/>
                <w:szCs w:val="22"/>
              </w:rPr>
              <w:t>). No en</w:t>
            </w:r>
            <w:r w:rsidR="002D09E4" w:rsidRPr="00752DBA">
              <w:rPr>
                <w:sz w:val="22"/>
                <w:szCs w:val="22"/>
              </w:rPr>
              <w:t>t</w:t>
            </w:r>
            <w:r w:rsidR="00D3527C" w:rsidRPr="00752DBA">
              <w:rPr>
                <w:sz w:val="22"/>
                <w:szCs w:val="22"/>
              </w:rPr>
              <w:t xml:space="preserve">anto, esta constante também está a multiplicar pelo valor de K, cujos valores estão </w:t>
            </w:r>
            <w:r w:rsidR="00BB1BC2" w:rsidRPr="00752DBA">
              <w:rPr>
                <w:sz w:val="22"/>
                <w:szCs w:val="22"/>
              </w:rPr>
              <w:t>no Sistema Inglês (</w:t>
            </w:r>
            <w:r w:rsidR="00D3527C" w:rsidRPr="00752DBA">
              <w:rPr>
                <w:sz w:val="22"/>
                <w:szCs w:val="22"/>
              </w:rPr>
              <w:t>MJ/mm/</w:t>
            </w:r>
            <w:proofErr w:type="spellStart"/>
            <w:r w:rsidR="00D3527C" w:rsidRPr="00752DBA">
              <w:rPr>
                <w:sz w:val="22"/>
                <w:szCs w:val="22"/>
              </w:rPr>
              <w:t>ha</w:t>
            </w:r>
            <w:proofErr w:type="spellEnd"/>
            <w:r w:rsidR="00D3527C" w:rsidRPr="00752DBA">
              <w:rPr>
                <w:sz w:val="22"/>
                <w:szCs w:val="22"/>
              </w:rPr>
              <w:t>/anos</w:t>
            </w:r>
            <w:r w:rsidR="00BB1BC2" w:rsidRPr="00752DBA">
              <w:rPr>
                <w:sz w:val="22"/>
                <w:szCs w:val="22"/>
              </w:rPr>
              <w:t>)</w:t>
            </w:r>
            <w:r w:rsidR="002D09E4" w:rsidRPr="00752DBA">
              <w:rPr>
                <w:sz w:val="22"/>
                <w:szCs w:val="22"/>
              </w:rPr>
              <w:t xml:space="preserve">, o que não devia acontecer. </w:t>
            </w:r>
            <w:r w:rsidR="00D3527C" w:rsidRPr="00752DBA">
              <w:rPr>
                <w:sz w:val="22"/>
                <w:szCs w:val="22"/>
              </w:rPr>
              <w:t xml:space="preserve"> </w:t>
            </w:r>
          </w:p>
          <w:p w:rsidR="005C0A51" w:rsidRPr="00752DBA" w:rsidRDefault="00444FA8" w:rsidP="00E35DF4">
            <w:pPr>
              <w:jc w:val="both"/>
              <w:rPr>
                <w:sz w:val="22"/>
                <w:szCs w:val="22"/>
              </w:rPr>
            </w:pPr>
            <w:r w:rsidRPr="00752DBA">
              <w:rPr>
                <w:sz w:val="22"/>
                <w:szCs w:val="22"/>
              </w:rPr>
              <w:t xml:space="preserve">2 - </w:t>
            </w:r>
            <w:r w:rsidR="005C0A51" w:rsidRPr="00752DBA">
              <w:rPr>
                <w:sz w:val="22"/>
                <w:szCs w:val="22"/>
              </w:rPr>
              <w:t xml:space="preserve">As unidades do mapa </w:t>
            </w:r>
            <w:proofErr w:type="spellStart"/>
            <w:r w:rsidR="00BB1BC2" w:rsidRPr="00752DBA">
              <w:rPr>
                <w:sz w:val="22"/>
                <w:szCs w:val="22"/>
              </w:rPr>
              <w:t>i</w:t>
            </w:r>
            <w:r w:rsidR="005C0A51" w:rsidRPr="00752DBA">
              <w:rPr>
                <w:sz w:val="22"/>
                <w:szCs w:val="22"/>
              </w:rPr>
              <w:t>soerodentes</w:t>
            </w:r>
            <w:proofErr w:type="spellEnd"/>
            <w:r w:rsidR="005C0A51" w:rsidRPr="00752DBA">
              <w:rPr>
                <w:sz w:val="22"/>
                <w:szCs w:val="22"/>
              </w:rPr>
              <w:t xml:space="preserve"> </w:t>
            </w:r>
            <w:r w:rsidR="00BB1BC2" w:rsidRPr="00752DBA">
              <w:rPr>
                <w:sz w:val="22"/>
                <w:szCs w:val="22"/>
              </w:rPr>
              <w:t xml:space="preserve">da APA </w:t>
            </w:r>
            <w:r w:rsidR="005C0A51" w:rsidRPr="00752DBA">
              <w:rPr>
                <w:sz w:val="22"/>
                <w:szCs w:val="22"/>
              </w:rPr>
              <w:t xml:space="preserve">não são as ideais para a realidade nacional, uma vez que as unidades de prática comum são as do </w:t>
            </w:r>
            <w:r w:rsidR="00BC48DD" w:rsidRPr="00752DBA">
              <w:rPr>
                <w:sz w:val="22"/>
                <w:szCs w:val="22"/>
              </w:rPr>
              <w:t>Sistema Internacional *</w:t>
            </w:r>
            <w:r w:rsidR="005C0A51" w:rsidRPr="00752DBA">
              <w:rPr>
                <w:sz w:val="22"/>
                <w:szCs w:val="22"/>
              </w:rPr>
              <w:t>(baseado no sistema métrico).</w:t>
            </w:r>
          </w:p>
          <w:p w:rsidR="00BC48DD" w:rsidRPr="00752DBA" w:rsidRDefault="00444FA8" w:rsidP="00E35DF4">
            <w:pPr>
              <w:jc w:val="both"/>
              <w:rPr>
                <w:sz w:val="22"/>
                <w:szCs w:val="22"/>
              </w:rPr>
            </w:pPr>
            <w:r w:rsidRPr="00752DBA">
              <w:rPr>
                <w:sz w:val="22"/>
                <w:szCs w:val="22"/>
              </w:rPr>
              <w:t xml:space="preserve">3 - </w:t>
            </w:r>
            <w:r w:rsidR="005C0A51" w:rsidRPr="00752DBA">
              <w:rPr>
                <w:sz w:val="22"/>
                <w:szCs w:val="22"/>
              </w:rPr>
              <w:t xml:space="preserve">O mapa de </w:t>
            </w:r>
            <w:proofErr w:type="spellStart"/>
            <w:r w:rsidR="00BB1BC2" w:rsidRPr="00752DBA">
              <w:rPr>
                <w:sz w:val="22"/>
                <w:szCs w:val="22"/>
              </w:rPr>
              <w:t>i</w:t>
            </w:r>
            <w:r w:rsidR="005C0A51" w:rsidRPr="00752DBA">
              <w:rPr>
                <w:sz w:val="22"/>
                <w:szCs w:val="22"/>
              </w:rPr>
              <w:t>soerodentes</w:t>
            </w:r>
            <w:proofErr w:type="spellEnd"/>
            <w:r w:rsidR="005C0A51" w:rsidRPr="00752DBA">
              <w:rPr>
                <w:sz w:val="22"/>
                <w:szCs w:val="22"/>
              </w:rPr>
              <w:t xml:space="preserve"> </w:t>
            </w:r>
            <w:r w:rsidR="00BB1BC2" w:rsidRPr="00752DBA">
              <w:rPr>
                <w:sz w:val="22"/>
                <w:szCs w:val="22"/>
              </w:rPr>
              <w:t xml:space="preserve">da APA </w:t>
            </w:r>
            <w:r w:rsidR="005C0A51" w:rsidRPr="00752DBA">
              <w:rPr>
                <w:sz w:val="22"/>
                <w:szCs w:val="22"/>
              </w:rPr>
              <w:t xml:space="preserve">utiliza valores médios de R, </w:t>
            </w:r>
            <w:r w:rsidR="00BC48DD" w:rsidRPr="00752DBA">
              <w:rPr>
                <w:sz w:val="22"/>
                <w:szCs w:val="22"/>
              </w:rPr>
              <w:t>que nem sempre traduzem a realidade específica de um determinado território</w:t>
            </w:r>
          </w:p>
          <w:p w:rsidR="0030596A" w:rsidRPr="00752DBA" w:rsidRDefault="0030596A" w:rsidP="00E35DF4">
            <w:pPr>
              <w:jc w:val="both"/>
              <w:rPr>
                <w:sz w:val="22"/>
                <w:szCs w:val="22"/>
              </w:rPr>
            </w:pPr>
            <w:r w:rsidRPr="00752DBA">
              <w:rPr>
                <w:sz w:val="22"/>
                <w:szCs w:val="22"/>
              </w:rPr>
              <w:t xml:space="preserve">4 – </w:t>
            </w:r>
            <w:r w:rsidR="00A54774" w:rsidRPr="00752DBA">
              <w:rPr>
                <w:sz w:val="22"/>
                <w:szCs w:val="22"/>
              </w:rPr>
              <w:t xml:space="preserve">O mapa de </w:t>
            </w:r>
            <w:proofErr w:type="spellStart"/>
            <w:r w:rsidR="00A54774" w:rsidRPr="00752DBA">
              <w:rPr>
                <w:sz w:val="22"/>
                <w:szCs w:val="22"/>
              </w:rPr>
              <w:t>isoerodentes</w:t>
            </w:r>
            <w:proofErr w:type="spellEnd"/>
            <w:r w:rsidR="00A54774" w:rsidRPr="00752DBA">
              <w:rPr>
                <w:sz w:val="22"/>
                <w:szCs w:val="22"/>
              </w:rPr>
              <w:t xml:space="preserve"> da APA reporta-se a 2003 e poderá, em alguns casos, não refletir a realidade.</w:t>
            </w:r>
          </w:p>
          <w:p w:rsidR="00444FA8" w:rsidRPr="00752DBA" w:rsidRDefault="00444FA8" w:rsidP="005C0A51">
            <w:pPr>
              <w:rPr>
                <w:sz w:val="22"/>
                <w:szCs w:val="22"/>
              </w:rPr>
            </w:pPr>
          </w:p>
          <w:p w:rsidR="00444FA8" w:rsidRPr="00752DBA" w:rsidRDefault="00444FA8" w:rsidP="005C0A51">
            <w:pPr>
              <w:rPr>
                <w:sz w:val="22"/>
                <w:szCs w:val="22"/>
              </w:rPr>
            </w:pPr>
          </w:p>
          <w:p w:rsidR="005C0A51" w:rsidRPr="00752DBA" w:rsidRDefault="005C0A51" w:rsidP="005C0A51">
            <w:pPr>
              <w:rPr>
                <w:sz w:val="22"/>
                <w:szCs w:val="22"/>
              </w:rPr>
            </w:pPr>
          </w:p>
        </w:tc>
        <w:tc>
          <w:tcPr>
            <w:tcW w:w="0" w:type="auto"/>
          </w:tcPr>
          <w:p w:rsidR="00BC48DD" w:rsidRPr="00752DBA" w:rsidRDefault="00E35DF4" w:rsidP="002D09E4">
            <w:pPr>
              <w:rPr>
                <w:sz w:val="22"/>
                <w:szCs w:val="22"/>
              </w:rPr>
            </w:pPr>
            <w:r>
              <w:rPr>
                <w:sz w:val="22"/>
                <w:szCs w:val="22"/>
              </w:rPr>
              <w:t xml:space="preserve">1 - </w:t>
            </w:r>
            <w:commentRangeStart w:id="3"/>
            <w:r w:rsidR="00BC48DD" w:rsidRPr="00752DBA">
              <w:rPr>
                <w:sz w:val="22"/>
                <w:szCs w:val="22"/>
              </w:rPr>
              <w:t>Retirar o 2,24 e converter todas as unidades para o Sistema Internacional *ou aplica</w:t>
            </w:r>
            <w:r w:rsidR="00412C25" w:rsidRPr="00752DBA">
              <w:rPr>
                <w:sz w:val="22"/>
                <w:szCs w:val="22"/>
              </w:rPr>
              <w:t>r a constante 2,24 apenas ao fa</w:t>
            </w:r>
            <w:r w:rsidR="00BC48DD" w:rsidRPr="00752DBA">
              <w:rPr>
                <w:sz w:val="22"/>
                <w:szCs w:val="22"/>
              </w:rPr>
              <w:t xml:space="preserve">tor R, quando este esteja em unidades americanas. </w:t>
            </w:r>
            <w:commentRangeEnd w:id="3"/>
            <w:r w:rsidR="00D62172" w:rsidRPr="00752DBA">
              <w:rPr>
                <w:rStyle w:val="Refdecomentrio"/>
                <w:sz w:val="22"/>
                <w:szCs w:val="22"/>
                <w:lang w:eastAsia="en-US"/>
              </w:rPr>
              <w:commentReference w:id="3"/>
            </w:r>
          </w:p>
          <w:p w:rsidR="00BC48DD" w:rsidRPr="00752DBA" w:rsidRDefault="00E35DF4" w:rsidP="002D09E4">
            <w:pPr>
              <w:rPr>
                <w:sz w:val="22"/>
                <w:szCs w:val="22"/>
              </w:rPr>
            </w:pPr>
            <w:commentRangeStart w:id="4"/>
            <w:r>
              <w:rPr>
                <w:sz w:val="22"/>
                <w:szCs w:val="22"/>
              </w:rPr>
              <w:t xml:space="preserve">1,2,34 </w:t>
            </w:r>
            <w:commentRangeEnd w:id="4"/>
            <w:r>
              <w:rPr>
                <w:rStyle w:val="Refdecomentrio"/>
                <w:lang w:eastAsia="en-US"/>
              </w:rPr>
              <w:commentReference w:id="4"/>
            </w:r>
            <w:r>
              <w:rPr>
                <w:sz w:val="22"/>
                <w:szCs w:val="22"/>
              </w:rPr>
              <w:t xml:space="preserve">- </w:t>
            </w:r>
          </w:p>
          <w:p w:rsidR="005C0A51" w:rsidRPr="00752DBA" w:rsidRDefault="00E35DF4" w:rsidP="00BC48DD">
            <w:pPr>
              <w:rPr>
                <w:sz w:val="22"/>
                <w:szCs w:val="22"/>
              </w:rPr>
            </w:pPr>
            <w:r>
              <w:rPr>
                <w:sz w:val="22"/>
                <w:szCs w:val="22"/>
              </w:rPr>
              <w:t xml:space="preserve">2, 3 - </w:t>
            </w:r>
            <w:r w:rsidR="00BC48DD" w:rsidRPr="00752DBA">
              <w:rPr>
                <w:sz w:val="22"/>
                <w:szCs w:val="22"/>
              </w:rPr>
              <w:t xml:space="preserve">Havendo </w:t>
            </w:r>
            <w:commentRangeStart w:id="5"/>
            <w:r w:rsidR="00BC48DD" w:rsidRPr="00752DBA">
              <w:rPr>
                <w:sz w:val="22"/>
                <w:szCs w:val="22"/>
              </w:rPr>
              <w:t xml:space="preserve">informação mais </w:t>
            </w:r>
            <w:proofErr w:type="gramStart"/>
            <w:r w:rsidR="00BC48DD" w:rsidRPr="00752DBA">
              <w:rPr>
                <w:sz w:val="22"/>
                <w:szCs w:val="22"/>
              </w:rPr>
              <w:t xml:space="preserve">precisa </w:t>
            </w:r>
            <w:commentRangeEnd w:id="5"/>
            <w:r w:rsidR="00D62172" w:rsidRPr="00752DBA">
              <w:rPr>
                <w:rStyle w:val="Refdecomentrio"/>
                <w:sz w:val="22"/>
                <w:szCs w:val="22"/>
                <w:lang w:eastAsia="en-US"/>
              </w:rPr>
              <w:commentReference w:id="5"/>
            </w:r>
            <w:proofErr w:type="gramEnd"/>
            <w:r w:rsidR="001F4F6E">
              <w:rPr>
                <w:sz w:val="22"/>
                <w:szCs w:val="22"/>
              </w:rPr>
              <w:t xml:space="preserve">, ou caso a CM entenda aprofundar o estudo, </w:t>
            </w:r>
            <w:r w:rsidR="00BC48DD" w:rsidRPr="00752DBA">
              <w:rPr>
                <w:sz w:val="22"/>
                <w:szCs w:val="22"/>
              </w:rPr>
              <w:t xml:space="preserve">para algumas áreas geográficas a mesma </w:t>
            </w:r>
            <w:r w:rsidR="00BB1BC2" w:rsidRPr="00752DBA">
              <w:rPr>
                <w:sz w:val="22"/>
                <w:szCs w:val="22"/>
              </w:rPr>
              <w:t xml:space="preserve">deverá ser </w:t>
            </w:r>
            <w:r w:rsidR="00BC48DD" w:rsidRPr="00752DBA">
              <w:rPr>
                <w:sz w:val="22"/>
                <w:szCs w:val="22"/>
              </w:rPr>
              <w:t xml:space="preserve">usada sempre que possível. </w:t>
            </w:r>
          </w:p>
          <w:p w:rsidR="00A54774" w:rsidRPr="00752DBA" w:rsidRDefault="00A54774" w:rsidP="001F4F6E">
            <w:pPr>
              <w:rPr>
                <w:sz w:val="22"/>
                <w:szCs w:val="22"/>
              </w:rPr>
            </w:pPr>
            <w:r w:rsidRPr="00752DBA">
              <w:rPr>
                <w:sz w:val="22"/>
                <w:szCs w:val="22"/>
              </w:rPr>
              <w:t>4 –</w:t>
            </w:r>
            <w:proofErr w:type="gramStart"/>
            <w:r w:rsidRPr="00752DBA">
              <w:rPr>
                <w:sz w:val="22"/>
                <w:szCs w:val="22"/>
              </w:rPr>
              <w:t>A</w:t>
            </w:r>
            <w:proofErr w:type="gramEnd"/>
            <w:r w:rsidRPr="00752DBA">
              <w:rPr>
                <w:sz w:val="22"/>
                <w:szCs w:val="22"/>
              </w:rPr>
              <w:t xml:space="preserve"> APA de</w:t>
            </w:r>
            <w:r w:rsidR="00E35DF4">
              <w:rPr>
                <w:sz w:val="22"/>
                <w:szCs w:val="22"/>
              </w:rPr>
              <w:t>verá</w:t>
            </w:r>
            <w:r w:rsidRPr="00752DBA">
              <w:rPr>
                <w:sz w:val="22"/>
                <w:szCs w:val="22"/>
              </w:rPr>
              <w:t xml:space="preserve"> proceder  à atualização do mapa de  </w:t>
            </w:r>
            <w:proofErr w:type="spellStart"/>
            <w:r w:rsidRPr="00752DBA">
              <w:rPr>
                <w:sz w:val="22"/>
                <w:szCs w:val="22"/>
              </w:rPr>
              <w:t>isoerodentes</w:t>
            </w:r>
            <w:proofErr w:type="spellEnd"/>
            <w:r w:rsidR="001F4F6E">
              <w:rPr>
                <w:sz w:val="22"/>
                <w:szCs w:val="22"/>
              </w:rPr>
              <w:t>.</w:t>
            </w:r>
          </w:p>
        </w:tc>
      </w:tr>
      <w:tr w:rsidR="00D36B8E" w:rsidRPr="00752DBA" w:rsidTr="00464A2D">
        <w:trPr>
          <w:tblHeader/>
        </w:trPr>
        <w:tc>
          <w:tcPr>
            <w:tcW w:w="0" w:type="auto"/>
          </w:tcPr>
          <w:p w:rsidR="00D36B8E" w:rsidRDefault="00D36B8E" w:rsidP="0030596A">
            <w:pPr>
              <w:rPr>
                <w:sz w:val="22"/>
                <w:szCs w:val="22"/>
              </w:rPr>
            </w:pPr>
            <w:r w:rsidRPr="00752DBA">
              <w:rPr>
                <w:b/>
                <w:bCs/>
                <w:sz w:val="22"/>
                <w:szCs w:val="22"/>
              </w:rPr>
              <w:lastRenderedPageBreak/>
              <w:t>K</w:t>
            </w:r>
            <w:r w:rsidRPr="00752DBA">
              <w:rPr>
                <w:sz w:val="22"/>
                <w:szCs w:val="22"/>
              </w:rPr>
              <w:t xml:space="preserve"> - erodibilidade do solo</w:t>
            </w:r>
            <w:r w:rsidR="00CA22B2" w:rsidRPr="00752DBA">
              <w:rPr>
                <w:sz w:val="22"/>
                <w:szCs w:val="22"/>
              </w:rPr>
              <w:t xml:space="preserve"> </w:t>
            </w:r>
          </w:p>
          <w:p w:rsidR="00A55E8B" w:rsidRDefault="00A55E8B" w:rsidP="00A55E8B">
            <w:pPr>
              <w:rPr>
                <w:sz w:val="22"/>
                <w:szCs w:val="22"/>
              </w:rPr>
            </w:pPr>
            <w:r w:rsidRPr="00752DBA">
              <w:rPr>
                <w:sz w:val="22"/>
                <w:szCs w:val="22"/>
              </w:rPr>
              <w:t>Sistema Inglês (MJ/mm/</w:t>
            </w:r>
            <w:proofErr w:type="spellStart"/>
            <w:r w:rsidRPr="00752DBA">
              <w:rPr>
                <w:sz w:val="22"/>
                <w:szCs w:val="22"/>
              </w:rPr>
              <w:t>ha</w:t>
            </w:r>
            <w:proofErr w:type="spellEnd"/>
            <w:r w:rsidRPr="00752DBA">
              <w:rPr>
                <w:sz w:val="22"/>
                <w:szCs w:val="22"/>
              </w:rPr>
              <w:t>/anos)</w:t>
            </w:r>
          </w:p>
          <w:p w:rsidR="00A55E8B" w:rsidRPr="00752DBA" w:rsidRDefault="00A55E8B" w:rsidP="00A55E8B">
            <w:pPr>
              <w:rPr>
                <w:sz w:val="22"/>
                <w:szCs w:val="22"/>
              </w:rPr>
            </w:pPr>
            <w:r>
              <w:rPr>
                <w:sz w:val="22"/>
                <w:szCs w:val="22"/>
              </w:rPr>
              <w:t>Sistema Internacional (t/</w:t>
            </w:r>
            <w:proofErr w:type="spellStart"/>
            <w:r>
              <w:rPr>
                <w:sz w:val="22"/>
                <w:szCs w:val="22"/>
              </w:rPr>
              <w:t>ha.ano</w:t>
            </w:r>
            <w:proofErr w:type="spellEnd"/>
            <w:r>
              <w:rPr>
                <w:sz w:val="22"/>
                <w:szCs w:val="22"/>
              </w:rPr>
              <w:t>)</w:t>
            </w:r>
          </w:p>
          <w:p w:rsidR="00A55E8B" w:rsidRPr="00752DBA" w:rsidRDefault="00A55E8B" w:rsidP="0030596A">
            <w:pPr>
              <w:rPr>
                <w:sz w:val="22"/>
                <w:szCs w:val="22"/>
              </w:rPr>
            </w:pPr>
          </w:p>
        </w:tc>
        <w:tc>
          <w:tcPr>
            <w:tcW w:w="0" w:type="auto"/>
          </w:tcPr>
          <w:p w:rsidR="007F6F53" w:rsidRPr="00752DBA" w:rsidRDefault="00BF6A00" w:rsidP="00D067BB">
            <w:pPr>
              <w:jc w:val="both"/>
              <w:rPr>
                <w:sz w:val="22"/>
                <w:szCs w:val="22"/>
              </w:rPr>
            </w:pPr>
            <w:r w:rsidRPr="00752DBA">
              <w:rPr>
                <w:sz w:val="22"/>
                <w:szCs w:val="22"/>
              </w:rPr>
              <w:t xml:space="preserve">1 - </w:t>
            </w:r>
            <w:commentRangeStart w:id="6"/>
            <w:r w:rsidR="00212BDD" w:rsidRPr="00752DBA">
              <w:rPr>
                <w:sz w:val="22"/>
                <w:szCs w:val="22"/>
              </w:rPr>
              <w:t>Nem todo o país está coberto pela carta de solos S.R.O.A à escala 1:25.000</w:t>
            </w:r>
            <w:commentRangeEnd w:id="6"/>
            <w:r w:rsidR="00E35DF4">
              <w:rPr>
                <w:rStyle w:val="Refdecomentrio"/>
                <w:lang w:eastAsia="en-US"/>
              </w:rPr>
              <w:commentReference w:id="6"/>
            </w:r>
            <w:r w:rsidR="00212BDD" w:rsidRPr="00752DBA">
              <w:rPr>
                <w:sz w:val="22"/>
                <w:szCs w:val="22"/>
              </w:rPr>
              <w:t xml:space="preserve">. </w:t>
            </w:r>
            <w:r w:rsidR="007F6F53" w:rsidRPr="00752DBA">
              <w:rPr>
                <w:sz w:val="22"/>
                <w:szCs w:val="22"/>
              </w:rPr>
              <w:t xml:space="preserve">Na ausência desta carta </w:t>
            </w:r>
            <w:r w:rsidR="00D067BB" w:rsidRPr="00752DBA">
              <w:rPr>
                <w:sz w:val="22"/>
                <w:szCs w:val="22"/>
              </w:rPr>
              <w:t>são</w:t>
            </w:r>
            <w:r w:rsidR="007F6F53" w:rsidRPr="00752DBA">
              <w:rPr>
                <w:sz w:val="22"/>
                <w:szCs w:val="22"/>
              </w:rPr>
              <w:t xml:space="preserve"> utilizada</w:t>
            </w:r>
            <w:r w:rsidR="00D067BB" w:rsidRPr="00752DBA">
              <w:rPr>
                <w:sz w:val="22"/>
                <w:szCs w:val="22"/>
              </w:rPr>
              <w:t>s</w:t>
            </w:r>
            <w:r w:rsidR="007F6F53" w:rsidRPr="00752DBA">
              <w:rPr>
                <w:sz w:val="22"/>
                <w:szCs w:val="22"/>
              </w:rPr>
              <w:t xml:space="preserve"> </w:t>
            </w:r>
            <w:r w:rsidR="00D067BB" w:rsidRPr="00752DBA">
              <w:rPr>
                <w:sz w:val="22"/>
                <w:szCs w:val="22"/>
              </w:rPr>
              <w:t>outras</w:t>
            </w:r>
            <w:r w:rsidR="007F6F53" w:rsidRPr="00752DBA">
              <w:rPr>
                <w:sz w:val="22"/>
                <w:szCs w:val="22"/>
              </w:rPr>
              <w:t xml:space="preserve"> carta</w:t>
            </w:r>
            <w:r w:rsidR="00D067BB" w:rsidRPr="00752DBA">
              <w:rPr>
                <w:sz w:val="22"/>
                <w:szCs w:val="22"/>
              </w:rPr>
              <w:t>s (quais?</w:t>
            </w:r>
            <w:r w:rsidR="007F6F53" w:rsidRPr="00752DBA">
              <w:rPr>
                <w:sz w:val="22"/>
                <w:szCs w:val="22"/>
              </w:rPr>
              <w:t xml:space="preserve"> </w:t>
            </w:r>
            <w:proofErr w:type="spellStart"/>
            <w:r w:rsidR="00D067BB" w:rsidRPr="00752DBA">
              <w:rPr>
                <w:sz w:val="22"/>
                <w:szCs w:val="22"/>
                <w:highlight w:val="yellow"/>
              </w:rPr>
              <w:t>X</w:t>
            </w:r>
            <w:r w:rsidR="007F6F53" w:rsidRPr="00752DBA">
              <w:rPr>
                <w:sz w:val="22"/>
                <w:szCs w:val="22"/>
                <w:highlight w:val="yellow"/>
              </w:rPr>
              <w:t>xxx</w:t>
            </w:r>
            <w:proofErr w:type="spellEnd"/>
            <w:r w:rsidR="00D067BB" w:rsidRPr="00752DBA">
              <w:rPr>
                <w:sz w:val="22"/>
                <w:szCs w:val="22"/>
              </w:rPr>
              <w:t>),</w:t>
            </w:r>
            <w:r w:rsidR="007F6F53" w:rsidRPr="00752DBA">
              <w:rPr>
                <w:sz w:val="22"/>
                <w:szCs w:val="22"/>
              </w:rPr>
              <w:t xml:space="preserve"> cuja</w:t>
            </w:r>
            <w:r w:rsidR="00D067BB" w:rsidRPr="00752DBA">
              <w:rPr>
                <w:sz w:val="22"/>
                <w:szCs w:val="22"/>
              </w:rPr>
              <w:t>s</w:t>
            </w:r>
            <w:r w:rsidR="007F6F53" w:rsidRPr="00752DBA">
              <w:rPr>
                <w:sz w:val="22"/>
                <w:szCs w:val="22"/>
              </w:rPr>
              <w:t xml:space="preserve"> </w:t>
            </w:r>
            <w:r w:rsidR="007F6F53" w:rsidRPr="00752DBA">
              <w:rPr>
                <w:sz w:val="22"/>
                <w:szCs w:val="22"/>
                <w:highlight w:val="yellow"/>
              </w:rPr>
              <w:t>escala</w:t>
            </w:r>
            <w:r w:rsidR="00D067BB" w:rsidRPr="00752DBA">
              <w:rPr>
                <w:sz w:val="22"/>
                <w:szCs w:val="22"/>
                <w:highlight w:val="yellow"/>
              </w:rPr>
              <w:t>s e classificações</w:t>
            </w:r>
            <w:r w:rsidR="007F6F53" w:rsidRPr="00752DBA">
              <w:rPr>
                <w:sz w:val="22"/>
                <w:szCs w:val="22"/>
              </w:rPr>
              <w:t xml:space="preserve"> </w:t>
            </w:r>
            <w:r w:rsidR="00DD0DF6">
              <w:rPr>
                <w:sz w:val="22"/>
                <w:szCs w:val="22"/>
              </w:rPr>
              <w:t>nem sempre se</w:t>
            </w:r>
            <w:r w:rsidR="00D067BB" w:rsidRPr="00752DBA">
              <w:rPr>
                <w:sz w:val="22"/>
                <w:szCs w:val="22"/>
              </w:rPr>
              <w:t xml:space="preserve"> relevam adequadas a uma delimitação que é feita à escala municipal.</w:t>
            </w:r>
          </w:p>
          <w:p w:rsidR="00E7397A" w:rsidRPr="00752DBA" w:rsidRDefault="00E35DF4" w:rsidP="00A55E8B">
            <w:pPr>
              <w:jc w:val="both"/>
              <w:rPr>
                <w:sz w:val="22"/>
                <w:szCs w:val="22"/>
              </w:rPr>
            </w:pPr>
            <w:r>
              <w:rPr>
                <w:sz w:val="22"/>
                <w:szCs w:val="22"/>
              </w:rPr>
              <w:t>2</w:t>
            </w:r>
            <w:r w:rsidR="00BF6A00" w:rsidRPr="00752DBA">
              <w:rPr>
                <w:sz w:val="22"/>
                <w:szCs w:val="22"/>
              </w:rPr>
              <w:t xml:space="preserve"> – As OENR remetem para o artigo de Pimenta</w:t>
            </w:r>
            <w:r w:rsidR="00D623BC" w:rsidRPr="00752DBA">
              <w:rPr>
                <w:sz w:val="22"/>
                <w:szCs w:val="22"/>
              </w:rPr>
              <w:t xml:space="preserve">,1999 </w:t>
            </w:r>
            <w:r w:rsidR="00BF6A00" w:rsidRPr="00752DBA">
              <w:rPr>
                <w:sz w:val="22"/>
                <w:szCs w:val="22"/>
              </w:rPr>
              <w:t xml:space="preserve">que integra </w:t>
            </w:r>
            <w:r w:rsidR="00D623BC" w:rsidRPr="00752DBA">
              <w:rPr>
                <w:sz w:val="22"/>
                <w:szCs w:val="22"/>
              </w:rPr>
              <w:t xml:space="preserve">dois </w:t>
            </w:r>
            <w:r w:rsidR="00BF6A00" w:rsidRPr="00752DBA">
              <w:rPr>
                <w:sz w:val="22"/>
                <w:szCs w:val="22"/>
              </w:rPr>
              <w:t>quadro</w:t>
            </w:r>
            <w:r>
              <w:rPr>
                <w:sz w:val="22"/>
                <w:szCs w:val="22"/>
              </w:rPr>
              <w:t>s</w:t>
            </w:r>
            <w:r w:rsidR="00BF6A00" w:rsidRPr="00752DBA">
              <w:rPr>
                <w:sz w:val="22"/>
                <w:szCs w:val="22"/>
              </w:rPr>
              <w:t xml:space="preserve"> com a correspondência entre a classificação da F.A.O. e a classificação da S.R.O.A. No referido artigo </w:t>
            </w:r>
            <w:r w:rsidR="00D623BC" w:rsidRPr="00752DBA">
              <w:rPr>
                <w:sz w:val="22"/>
                <w:szCs w:val="22"/>
              </w:rPr>
              <w:t>existem dois quadros com valores de K.</w:t>
            </w:r>
            <w:r w:rsidR="00A55E8B">
              <w:rPr>
                <w:sz w:val="22"/>
                <w:szCs w:val="22"/>
              </w:rPr>
              <w:t xml:space="preserve"> </w:t>
            </w:r>
            <w:r w:rsidR="00D623BC" w:rsidRPr="00752DBA">
              <w:rPr>
                <w:sz w:val="22"/>
                <w:szCs w:val="22"/>
              </w:rPr>
              <w:t>No quadro 4 (página 8)</w:t>
            </w:r>
            <w:r w:rsidR="00A55E8B">
              <w:rPr>
                <w:sz w:val="22"/>
                <w:szCs w:val="22"/>
              </w:rPr>
              <w:t>,</w:t>
            </w:r>
            <w:r w:rsidR="00D623BC" w:rsidRPr="00752DBA">
              <w:rPr>
                <w:sz w:val="22"/>
                <w:szCs w:val="22"/>
              </w:rPr>
              <w:t xml:space="preserve"> o valor de k está em unidades do</w:t>
            </w:r>
            <w:r w:rsidR="00BF6A00" w:rsidRPr="00752DBA">
              <w:rPr>
                <w:sz w:val="22"/>
                <w:szCs w:val="22"/>
              </w:rPr>
              <w:t xml:space="preserve"> </w:t>
            </w:r>
            <w:r w:rsidR="00D623BC" w:rsidRPr="00752DBA">
              <w:rPr>
                <w:sz w:val="22"/>
                <w:szCs w:val="22"/>
              </w:rPr>
              <w:t>Sistema Inglês, ainda que a coluna não o refira. No quadro que consta do anexo ao artigo (páginas 10 a 12)</w:t>
            </w:r>
            <w:r w:rsidR="00A55E8B">
              <w:rPr>
                <w:sz w:val="22"/>
                <w:szCs w:val="22"/>
              </w:rPr>
              <w:t>,</w:t>
            </w:r>
            <w:r w:rsidR="00D623BC" w:rsidRPr="00752DBA">
              <w:rPr>
                <w:sz w:val="22"/>
                <w:szCs w:val="22"/>
              </w:rPr>
              <w:t xml:space="preserve"> o K é apresentado em unidades do </w:t>
            </w:r>
            <w:commentRangeStart w:id="7"/>
            <w:r w:rsidR="00D623BC" w:rsidRPr="00752DBA">
              <w:rPr>
                <w:sz w:val="22"/>
                <w:szCs w:val="22"/>
              </w:rPr>
              <w:t xml:space="preserve">S.I </w:t>
            </w:r>
            <w:commentRangeEnd w:id="7"/>
            <w:r w:rsidR="00D623BC" w:rsidRPr="00752DBA">
              <w:rPr>
                <w:rStyle w:val="Refdecomentrio"/>
                <w:sz w:val="22"/>
                <w:szCs w:val="22"/>
                <w:lang w:eastAsia="en-US"/>
              </w:rPr>
              <w:commentReference w:id="7"/>
            </w:r>
            <w:r w:rsidR="00D623BC" w:rsidRPr="00752DBA">
              <w:rPr>
                <w:sz w:val="22"/>
                <w:szCs w:val="22"/>
              </w:rPr>
              <w:t xml:space="preserve">e métricas, as quais, tal como a fórmula está apresentada, não podem ser multiplicadas </w:t>
            </w:r>
            <w:r w:rsidR="007E63EF" w:rsidRPr="00752DBA">
              <w:rPr>
                <w:sz w:val="22"/>
                <w:szCs w:val="22"/>
              </w:rPr>
              <w:t>diretamente por</w:t>
            </w:r>
            <w:r w:rsidR="00D623BC" w:rsidRPr="00752DBA">
              <w:rPr>
                <w:sz w:val="22"/>
                <w:szCs w:val="22"/>
              </w:rPr>
              <w:t xml:space="preserve"> R</w:t>
            </w:r>
            <w:r w:rsidR="00E7397A" w:rsidRPr="00752DBA">
              <w:rPr>
                <w:sz w:val="22"/>
                <w:szCs w:val="22"/>
              </w:rPr>
              <w:t xml:space="preserve"> do SNIRH</w:t>
            </w:r>
            <w:r w:rsidR="00DD0DF6">
              <w:rPr>
                <w:sz w:val="22"/>
                <w:szCs w:val="22"/>
              </w:rPr>
              <w:t>, que</w:t>
            </w:r>
            <w:r w:rsidR="00E7397A" w:rsidRPr="00752DBA">
              <w:rPr>
                <w:sz w:val="22"/>
                <w:szCs w:val="22"/>
              </w:rPr>
              <w:t xml:space="preserve"> está em unidades americanas. Paralelamente a constante de 2,24 visa converter o R para o Sistema Internacional, e não o K.</w:t>
            </w:r>
          </w:p>
          <w:p w:rsidR="00A20A59" w:rsidRDefault="00A20A59" w:rsidP="00A20A59">
            <w:pPr>
              <w:rPr>
                <w:rFonts w:asciiTheme="minorHAnsi" w:hAnsiTheme="minorHAnsi"/>
                <w:color w:val="5F497A" w:themeColor="accent4" w:themeShade="BF"/>
              </w:rPr>
            </w:pPr>
            <w:r>
              <w:rPr>
                <w:sz w:val="22"/>
                <w:szCs w:val="22"/>
              </w:rPr>
              <w:t xml:space="preserve">3 - </w:t>
            </w:r>
            <w:r w:rsidRPr="00F16AB7">
              <w:rPr>
                <w:rFonts w:asciiTheme="minorHAnsi" w:hAnsiTheme="minorHAnsi"/>
                <w:color w:val="5F497A" w:themeColor="accent4" w:themeShade="BF"/>
              </w:rPr>
              <w:t>O grau de precisão com que são propostos os modelos de risco de erosão (células de 10 metros) não são compatíveis com a informação da classificação do solo</w:t>
            </w:r>
            <w:r>
              <w:rPr>
                <w:rFonts w:asciiTheme="minorHAnsi" w:hAnsiTheme="minorHAnsi"/>
                <w:color w:val="5F497A" w:themeColor="accent4" w:themeShade="BF"/>
              </w:rPr>
              <w:t>,</w:t>
            </w:r>
            <w:r w:rsidRPr="00F16AB7">
              <w:rPr>
                <w:rFonts w:asciiTheme="minorHAnsi" w:hAnsiTheme="minorHAnsi"/>
                <w:color w:val="5F497A" w:themeColor="accent4" w:themeShade="BF"/>
              </w:rPr>
              <w:t xml:space="preserve"> </w:t>
            </w:r>
            <w:r w:rsidRPr="00A20A59">
              <w:rPr>
                <w:sz w:val="22"/>
                <w:szCs w:val="22"/>
              </w:rPr>
              <w:t>alguma da qual</w:t>
            </w:r>
            <w:r>
              <w:rPr>
                <w:rFonts w:asciiTheme="minorHAnsi" w:hAnsiTheme="minorHAnsi"/>
                <w:color w:val="5F497A" w:themeColor="accent4" w:themeShade="BF"/>
              </w:rPr>
              <w:t xml:space="preserve"> </w:t>
            </w:r>
            <w:r w:rsidRPr="00F16AB7">
              <w:rPr>
                <w:rFonts w:asciiTheme="minorHAnsi" w:hAnsiTheme="minorHAnsi"/>
                <w:color w:val="5F497A" w:themeColor="accent4" w:themeShade="BF"/>
              </w:rPr>
              <w:t>desatualizada.</w:t>
            </w:r>
          </w:p>
          <w:p w:rsidR="00E7397A" w:rsidRPr="00752DBA" w:rsidRDefault="00E7397A" w:rsidP="007E63EF">
            <w:pPr>
              <w:rPr>
                <w:sz w:val="22"/>
                <w:szCs w:val="22"/>
              </w:rPr>
            </w:pPr>
          </w:p>
          <w:p w:rsidR="00E7397A" w:rsidRPr="00752DBA" w:rsidRDefault="00E7397A" w:rsidP="007E63EF">
            <w:pPr>
              <w:rPr>
                <w:sz w:val="22"/>
                <w:szCs w:val="22"/>
              </w:rPr>
            </w:pPr>
          </w:p>
          <w:p w:rsidR="00D623BC" w:rsidRPr="00752DBA" w:rsidRDefault="007E63EF" w:rsidP="00E7397A">
            <w:pPr>
              <w:rPr>
                <w:sz w:val="22"/>
                <w:szCs w:val="22"/>
              </w:rPr>
            </w:pPr>
            <w:r w:rsidRPr="00752DBA">
              <w:rPr>
                <w:sz w:val="22"/>
                <w:szCs w:val="22"/>
              </w:rPr>
              <w:t xml:space="preserve"> </w:t>
            </w:r>
          </w:p>
        </w:tc>
        <w:tc>
          <w:tcPr>
            <w:tcW w:w="0" w:type="auto"/>
          </w:tcPr>
          <w:p w:rsidR="00D067BB" w:rsidRPr="00752DBA" w:rsidRDefault="00BF6A00" w:rsidP="00A55E8B">
            <w:pPr>
              <w:jc w:val="both"/>
              <w:rPr>
                <w:sz w:val="22"/>
                <w:szCs w:val="22"/>
              </w:rPr>
            </w:pPr>
            <w:r w:rsidRPr="00752DBA">
              <w:rPr>
                <w:sz w:val="22"/>
                <w:szCs w:val="22"/>
              </w:rPr>
              <w:t xml:space="preserve">1 </w:t>
            </w:r>
            <w:r w:rsidR="00444FA8" w:rsidRPr="00752DBA">
              <w:rPr>
                <w:sz w:val="22"/>
                <w:szCs w:val="22"/>
              </w:rPr>
              <w:t>–</w:t>
            </w:r>
            <w:r w:rsidRPr="00752DBA">
              <w:rPr>
                <w:sz w:val="22"/>
                <w:szCs w:val="22"/>
              </w:rPr>
              <w:t xml:space="preserve"> </w:t>
            </w:r>
            <w:commentRangeStart w:id="8"/>
            <w:r w:rsidR="008A7E51" w:rsidRPr="00752DBA">
              <w:rPr>
                <w:sz w:val="22"/>
                <w:szCs w:val="22"/>
              </w:rPr>
              <w:t>Na ausência de carta de solos à escala 1:25 000 pode utilizar-se a</w:t>
            </w:r>
            <w:r w:rsidR="00444FA8" w:rsidRPr="00752DBA">
              <w:rPr>
                <w:sz w:val="22"/>
                <w:szCs w:val="22"/>
              </w:rPr>
              <w:t xml:space="preserve"> cartografia </w:t>
            </w:r>
            <w:r w:rsidR="008A7E51" w:rsidRPr="00752DBA">
              <w:rPr>
                <w:sz w:val="22"/>
                <w:szCs w:val="22"/>
              </w:rPr>
              <w:t>da</w:t>
            </w:r>
            <w:r w:rsidR="00444FA8" w:rsidRPr="00752DBA">
              <w:rPr>
                <w:sz w:val="22"/>
                <w:szCs w:val="22"/>
              </w:rPr>
              <w:t xml:space="preserve"> JRC (</w:t>
            </w:r>
            <w:proofErr w:type="spellStart"/>
            <w:r w:rsidR="00444FA8" w:rsidRPr="00752DBA">
              <w:rPr>
                <w:sz w:val="22"/>
                <w:szCs w:val="22"/>
              </w:rPr>
              <w:t>Joint</w:t>
            </w:r>
            <w:proofErr w:type="spellEnd"/>
            <w:r w:rsidR="00444FA8" w:rsidRPr="00752DBA">
              <w:rPr>
                <w:sz w:val="22"/>
                <w:szCs w:val="22"/>
              </w:rPr>
              <w:t xml:space="preserve"> </w:t>
            </w:r>
            <w:proofErr w:type="spellStart"/>
            <w:r w:rsidR="00444FA8" w:rsidRPr="00752DBA">
              <w:rPr>
                <w:sz w:val="22"/>
                <w:szCs w:val="22"/>
              </w:rPr>
              <w:t>Reserach</w:t>
            </w:r>
            <w:proofErr w:type="spellEnd"/>
            <w:r w:rsidR="00444FA8" w:rsidRPr="00752DBA">
              <w:rPr>
                <w:sz w:val="22"/>
                <w:szCs w:val="22"/>
              </w:rPr>
              <w:t xml:space="preserve"> </w:t>
            </w:r>
            <w:proofErr w:type="spellStart"/>
            <w:proofErr w:type="gramStart"/>
            <w:r w:rsidR="00444FA8" w:rsidRPr="00752DBA">
              <w:rPr>
                <w:sz w:val="22"/>
                <w:szCs w:val="22"/>
              </w:rPr>
              <w:t>Center</w:t>
            </w:r>
            <w:proofErr w:type="spellEnd"/>
            <w:r w:rsidR="00444FA8" w:rsidRPr="00752DBA">
              <w:rPr>
                <w:sz w:val="22"/>
                <w:szCs w:val="22"/>
              </w:rPr>
              <w:t xml:space="preserve">) </w:t>
            </w:r>
            <w:commentRangeEnd w:id="8"/>
            <w:r w:rsidR="008A7E51" w:rsidRPr="00752DBA">
              <w:rPr>
                <w:rStyle w:val="Refdecomentrio"/>
                <w:sz w:val="22"/>
                <w:szCs w:val="22"/>
                <w:lang w:eastAsia="en-US"/>
              </w:rPr>
              <w:commentReference w:id="8"/>
            </w:r>
            <w:r w:rsidR="008A7E51" w:rsidRPr="00752DBA">
              <w:rPr>
                <w:sz w:val="22"/>
                <w:szCs w:val="22"/>
              </w:rPr>
              <w:t>.</w:t>
            </w:r>
            <w:proofErr w:type="gramEnd"/>
            <w:r w:rsidR="00D067BB" w:rsidRPr="00752DBA">
              <w:rPr>
                <w:sz w:val="22"/>
                <w:szCs w:val="22"/>
              </w:rPr>
              <w:t xml:space="preserve"> </w:t>
            </w:r>
            <w:r w:rsidR="00444FA8" w:rsidRPr="00752DBA">
              <w:rPr>
                <w:sz w:val="22"/>
                <w:szCs w:val="22"/>
              </w:rPr>
              <w:t xml:space="preserve"> </w:t>
            </w:r>
            <w:r w:rsidR="00D067BB" w:rsidRPr="00752DBA">
              <w:rPr>
                <w:sz w:val="22"/>
                <w:szCs w:val="22"/>
              </w:rPr>
              <w:t xml:space="preserve"> </w:t>
            </w:r>
          </w:p>
          <w:p w:rsidR="00E7397A" w:rsidRDefault="00E7397A" w:rsidP="00E35DF4">
            <w:pPr>
              <w:jc w:val="both"/>
              <w:rPr>
                <w:sz w:val="22"/>
                <w:szCs w:val="22"/>
              </w:rPr>
            </w:pPr>
            <w:r w:rsidRPr="00752DBA">
              <w:rPr>
                <w:sz w:val="22"/>
                <w:szCs w:val="22"/>
              </w:rPr>
              <w:t xml:space="preserve">2 </w:t>
            </w:r>
            <w:r w:rsidR="00A652E3" w:rsidRPr="00752DBA">
              <w:rPr>
                <w:sz w:val="22"/>
                <w:szCs w:val="22"/>
              </w:rPr>
              <w:t>–</w:t>
            </w:r>
            <w:r w:rsidR="00E35DF4" w:rsidRPr="00752DBA">
              <w:rPr>
                <w:sz w:val="22"/>
                <w:szCs w:val="22"/>
              </w:rPr>
              <w:t xml:space="preserve"> Retirar o 2,24 e converter todas as unidade</w:t>
            </w:r>
            <w:r w:rsidR="00A55E8B">
              <w:rPr>
                <w:sz w:val="22"/>
                <w:szCs w:val="22"/>
              </w:rPr>
              <w:t xml:space="preserve">s para o Sistema Internacional </w:t>
            </w:r>
            <w:r w:rsidR="00E35DF4" w:rsidRPr="00752DBA">
              <w:rPr>
                <w:sz w:val="22"/>
                <w:szCs w:val="22"/>
              </w:rPr>
              <w:t>ou aplicar a constante 2,24 apenas ao fator R, quando este esteja em unidades americanas</w:t>
            </w:r>
            <w:r w:rsidR="00E35DF4">
              <w:rPr>
                <w:sz w:val="22"/>
                <w:szCs w:val="22"/>
              </w:rPr>
              <w:t>.</w:t>
            </w:r>
          </w:p>
          <w:p w:rsidR="00A55E8B" w:rsidRPr="00A55E8B" w:rsidRDefault="00A55E8B" w:rsidP="00E35DF4">
            <w:pPr>
              <w:jc w:val="both"/>
              <w:rPr>
                <w:sz w:val="22"/>
                <w:szCs w:val="22"/>
                <w:u w:val="single"/>
              </w:rPr>
            </w:pPr>
            <w:r w:rsidRPr="00A55E8B">
              <w:rPr>
                <w:sz w:val="22"/>
                <w:szCs w:val="22"/>
                <w:u w:val="single"/>
              </w:rPr>
              <w:t>Outras soluções</w:t>
            </w:r>
            <w:r>
              <w:rPr>
                <w:sz w:val="22"/>
                <w:szCs w:val="22"/>
                <w:u w:val="single"/>
              </w:rPr>
              <w:t>:</w:t>
            </w:r>
          </w:p>
          <w:p w:rsidR="00E7397A" w:rsidRPr="00752DBA" w:rsidRDefault="00E35DF4" w:rsidP="00A55E8B">
            <w:pPr>
              <w:jc w:val="both"/>
              <w:rPr>
                <w:sz w:val="22"/>
                <w:szCs w:val="22"/>
              </w:rPr>
            </w:pPr>
            <w:r w:rsidRPr="00752DBA">
              <w:rPr>
                <w:sz w:val="22"/>
                <w:szCs w:val="22"/>
              </w:rPr>
              <w:t xml:space="preserve">Quando uma mancha de território integra mais do que um tipo de solo, o seu valor de erodibilidade corresponde </w:t>
            </w:r>
            <w:r w:rsidR="00A55E8B">
              <w:rPr>
                <w:sz w:val="22"/>
                <w:szCs w:val="22"/>
              </w:rPr>
              <w:t>deve corresponder à</w:t>
            </w:r>
            <w:r w:rsidRPr="00752DBA">
              <w:rPr>
                <w:sz w:val="22"/>
                <w:szCs w:val="22"/>
              </w:rPr>
              <w:t xml:space="preserve"> média ponderada dos valores respeitantes a cada um dos solos</w:t>
            </w:r>
          </w:p>
          <w:p w:rsidR="00E35DF4" w:rsidRPr="00752DBA" w:rsidRDefault="00E35DF4" w:rsidP="00A55E8B">
            <w:pPr>
              <w:jc w:val="both"/>
              <w:rPr>
                <w:sz w:val="22"/>
                <w:szCs w:val="22"/>
              </w:rPr>
            </w:pPr>
            <w:commentRangeStart w:id="9"/>
            <w:r w:rsidRPr="00752DBA">
              <w:rPr>
                <w:sz w:val="22"/>
                <w:szCs w:val="22"/>
              </w:rPr>
              <w:t>No caso dos solos cuja erodibilidade não esteja determinada pode recorrer-se a outros estudos tecnicamente sustentados, ou estimar o valor por analogia a…</w:t>
            </w:r>
            <w:commentRangeEnd w:id="9"/>
            <w:r w:rsidRPr="00752DBA">
              <w:rPr>
                <w:rStyle w:val="Refdecomentrio"/>
                <w:sz w:val="22"/>
                <w:szCs w:val="22"/>
                <w:lang w:eastAsia="en-US"/>
              </w:rPr>
              <w:commentReference w:id="9"/>
            </w:r>
          </w:p>
          <w:p w:rsidR="00E7397A" w:rsidRPr="00752DBA" w:rsidRDefault="00E7397A" w:rsidP="00BC48DD">
            <w:pPr>
              <w:rPr>
                <w:sz w:val="22"/>
                <w:szCs w:val="22"/>
              </w:rPr>
            </w:pPr>
          </w:p>
        </w:tc>
      </w:tr>
      <w:tr w:rsidR="00D36B8E" w:rsidRPr="00752DBA" w:rsidTr="00464A2D">
        <w:trPr>
          <w:tblHeader/>
        </w:trPr>
        <w:tc>
          <w:tcPr>
            <w:tcW w:w="0" w:type="auto"/>
          </w:tcPr>
          <w:p w:rsidR="00D36B8E" w:rsidRPr="00752DBA" w:rsidRDefault="00D36B8E" w:rsidP="00ED3C9B">
            <w:pPr>
              <w:rPr>
                <w:sz w:val="22"/>
                <w:szCs w:val="22"/>
              </w:rPr>
            </w:pPr>
            <w:r w:rsidRPr="00752DBA">
              <w:rPr>
                <w:b/>
                <w:bCs/>
                <w:sz w:val="22"/>
                <w:szCs w:val="22"/>
              </w:rPr>
              <w:lastRenderedPageBreak/>
              <w:t>L</w:t>
            </w:r>
            <w:r w:rsidRPr="00752DBA">
              <w:rPr>
                <w:sz w:val="22"/>
                <w:szCs w:val="22"/>
              </w:rPr>
              <w:t xml:space="preserve"> </w:t>
            </w:r>
            <w:r w:rsidR="003030AE" w:rsidRPr="00752DBA">
              <w:rPr>
                <w:sz w:val="22"/>
                <w:szCs w:val="22"/>
              </w:rPr>
              <w:t>= (λ/22,</w:t>
            </w:r>
            <w:proofErr w:type="gramStart"/>
            <w:r w:rsidR="003030AE" w:rsidRPr="00752DBA">
              <w:rPr>
                <w:sz w:val="22"/>
                <w:szCs w:val="22"/>
              </w:rPr>
              <w:t>13)</w:t>
            </w:r>
            <w:r w:rsidR="003030AE" w:rsidRPr="00752DBA">
              <w:rPr>
                <w:sz w:val="22"/>
                <w:szCs w:val="22"/>
                <w:vertAlign w:val="superscript"/>
              </w:rPr>
              <w:t>m</w:t>
            </w:r>
            <w:proofErr w:type="gramEnd"/>
            <w:r w:rsidR="003030AE" w:rsidRPr="00752DBA">
              <w:rPr>
                <w:sz w:val="22"/>
                <w:szCs w:val="22"/>
                <w:vertAlign w:val="superscript"/>
              </w:rPr>
              <w:t xml:space="preserve"> </w:t>
            </w:r>
            <w:r w:rsidRPr="00752DBA">
              <w:rPr>
                <w:sz w:val="22"/>
                <w:szCs w:val="22"/>
              </w:rPr>
              <w:t>- comprimento das vertentes</w:t>
            </w:r>
            <w:r w:rsidR="003533CF" w:rsidRPr="00752DBA">
              <w:rPr>
                <w:sz w:val="22"/>
                <w:szCs w:val="22"/>
              </w:rPr>
              <w:t xml:space="preserve"> ou comprimento da encosta</w:t>
            </w:r>
          </w:p>
        </w:tc>
        <w:tc>
          <w:tcPr>
            <w:tcW w:w="0" w:type="auto"/>
          </w:tcPr>
          <w:p w:rsidR="00D36B8E" w:rsidRPr="00752DBA" w:rsidRDefault="00DD0DF6" w:rsidP="003030AE">
            <w:pPr>
              <w:rPr>
                <w:sz w:val="22"/>
                <w:szCs w:val="22"/>
              </w:rPr>
            </w:pPr>
            <w:r>
              <w:rPr>
                <w:sz w:val="22"/>
                <w:szCs w:val="22"/>
              </w:rPr>
              <w:t xml:space="preserve">1 - </w:t>
            </w:r>
            <w:r w:rsidR="003030AE" w:rsidRPr="00752DBA">
              <w:rPr>
                <w:sz w:val="22"/>
                <w:szCs w:val="22"/>
              </w:rPr>
              <w:t xml:space="preserve">A tabela que está publicada para o cálculo do </w:t>
            </w:r>
            <w:r w:rsidR="003030AE" w:rsidRPr="00752DBA">
              <w:rPr>
                <w:i/>
                <w:sz w:val="22"/>
                <w:szCs w:val="22"/>
              </w:rPr>
              <w:t xml:space="preserve">m </w:t>
            </w:r>
            <w:r w:rsidR="003030AE" w:rsidRPr="00752DBA">
              <w:rPr>
                <w:sz w:val="22"/>
                <w:szCs w:val="22"/>
              </w:rPr>
              <w:t>contém erros, porque não considera as classes de declive entre o 3-3,5% e entre o 4,5-5%.</w:t>
            </w:r>
          </w:p>
          <w:p w:rsidR="00D65417" w:rsidRPr="00752DBA" w:rsidRDefault="00DD0DF6" w:rsidP="00DD0DF6">
            <w:pPr>
              <w:rPr>
                <w:sz w:val="22"/>
                <w:szCs w:val="22"/>
              </w:rPr>
            </w:pPr>
            <w:r>
              <w:rPr>
                <w:rFonts w:asciiTheme="minorHAnsi" w:hAnsiTheme="minorHAnsi"/>
                <w:color w:val="632423" w:themeColor="accent2" w:themeShade="80"/>
                <w:sz w:val="22"/>
                <w:szCs w:val="22"/>
              </w:rPr>
              <w:t>2</w:t>
            </w:r>
            <w:r w:rsidR="00D65417" w:rsidRPr="00752DBA">
              <w:rPr>
                <w:rFonts w:asciiTheme="minorHAnsi" w:hAnsiTheme="minorHAnsi"/>
                <w:color w:val="632423" w:themeColor="accent2" w:themeShade="80"/>
                <w:sz w:val="22"/>
                <w:szCs w:val="22"/>
              </w:rPr>
              <w:t xml:space="preserve"> - A componente λ é calculada a partir do Mapa do Sentido dos Fluxos / Acumulação de Fluxos. No entanto o valor do fluxo acumulado pode incluir células que se encontram em fundos de vales planos e que não refletem, nos seus valores, o real comprimento das vertentes.</w:t>
            </w:r>
          </w:p>
        </w:tc>
        <w:tc>
          <w:tcPr>
            <w:tcW w:w="0" w:type="auto"/>
          </w:tcPr>
          <w:p w:rsidR="00D36B8E" w:rsidRPr="00752DBA" w:rsidRDefault="00DD0DF6" w:rsidP="00253174">
            <w:pPr>
              <w:rPr>
                <w:sz w:val="22"/>
                <w:szCs w:val="22"/>
              </w:rPr>
            </w:pPr>
            <w:r>
              <w:rPr>
                <w:sz w:val="22"/>
                <w:szCs w:val="22"/>
              </w:rPr>
              <w:t xml:space="preserve">1 - </w:t>
            </w:r>
            <w:commentRangeStart w:id="10"/>
            <w:r w:rsidR="00492220" w:rsidRPr="00752DBA">
              <w:rPr>
                <w:sz w:val="22"/>
                <w:szCs w:val="22"/>
              </w:rPr>
              <w:t xml:space="preserve">Há </w:t>
            </w:r>
            <w:proofErr w:type="gramStart"/>
            <w:r w:rsidR="00492220" w:rsidRPr="00DD0DF6">
              <w:rPr>
                <w:i/>
                <w:sz w:val="22"/>
                <w:szCs w:val="22"/>
              </w:rPr>
              <w:t>software</w:t>
            </w:r>
            <w:proofErr w:type="gramEnd"/>
            <w:r w:rsidR="00492220" w:rsidRPr="00752DBA">
              <w:rPr>
                <w:sz w:val="22"/>
                <w:szCs w:val="22"/>
              </w:rPr>
              <w:t xml:space="preserve"> com módulos específicos para o cálculo do comprimento das vertentes</w:t>
            </w:r>
            <w:r w:rsidR="00253174" w:rsidRPr="00752DBA">
              <w:rPr>
                <w:sz w:val="22"/>
                <w:szCs w:val="22"/>
              </w:rPr>
              <w:t>. O modelo deve ser aferido com a maior encosta</w:t>
            </w:r>
            <w:commentRangeEnd w:id="10"/>
            <w:r w:rsidR="00253174" w:rsidRPr="00752DBA">
              <w:rPr>
                <w:rStyle w:val="Refdecomentrio"/>
                <w:sz w:val="22"/>
                <w:szCs w:val="22"/>
                <w:lang w:eastAsia="en-US"/>
              </w:rPr>
              <w:commentReference w:id="10"/>
            </w:r>
            <w:r w:rsidR="00253174" w:rsidRPr="00752DBA">
              <w:rPr>
                <w:sz w:val="22"/>
                <w:szCs w:val="22"/>
              </w:rPr>
              <w:t>.</w:t>
            </w:r>
          </w:p>
          <w:p w:rsidR="00D65417" w:rsidRPr="00752DBA" w:rsidRDefault="00DD0DF6" w:rsidP="00253174">
            <w:pPr>
              <w:rPr>
                <w:sz w:val="22"/>
                <w:szCs w:val="22"/>
              </w:rPr>
            </w:pPr>
            <w:r>
              <w:rPr>
                <w:rFonts w:asciiTheme="minorHAnsi" w:hAnsiTheme="minorHAnsi"/>
                <w:color w:val="632423" w:themeColor="accent2" w:themeShade="80"/>
                <w:sz w:val="22"/>
                <w:szCs w:val="22"/>
              </w:rPr>
              <w:t>2</w:t>
            </w:r>
            <w:r w:rsidR="00D65417" w:rsidRPr="00752DBA">
              <w:rPr>
                <w:rFonts w:asciiTheme="minorHAnsi" w:hAnsiTheme="minorHAnsi"/>
                <w:color w:val="632423" w:themeColor="accent2" w:themeShade="80"/>
                <w:sz w:val="22"/>
                <w:szCs w:val="22"/>
              </w:rPr>
              <w:t>- Deve ser aplicada uma função condicional de modo a fazer corresponder o número máximo de células acumulado ao comprimento máximo da encosta verificado no concelho com base no Modelo Numérico de Elevação (GM CCDR LVT)</w:t>
            </w:r>
          </w:p>
        </w:tc>
      </w:tr>
      <w:tr w:rsidR="00D36B8E" w:rsidRPr="00752DBA" w:rsidTr="00464A2D">
        <w:trPr>
          <w:tblHeader/>
        </w:trPr>
        <w:tc>
          <w:tcPr>
            <w:tcW w:w="0" w:type="auto"/>
          </w:tcPr>
          <w:p w:rsidR="00D36B8E" w:rsidRPr="00752DBA" w:rsidRDefault="00D36B8E" w:rsidP="00ED3C9B">
            <w:pPr>
              <w:rPr>
                <w:sz w:val="22"/>
                <w:szCs w:val="22"/>
              </w:rPr>
            </w:pPr>
            <w:r w:rsidRPr="00752DBA">
              <w:rPr>
                <w:b/>
                <w:bCs/>
                <w:sz w:val="22"/>
                <w:szCs w:val="22"/>
              </w:rPr>
              <w:t>S</w:t>
            </w:r>
            <w:r w:rsidRPr="00752DBA">
              <w:rPr>
                <w:sz w:val="22"/>
                <w:szCs w:val="22"/>
              </w:rPr>
              <w:t xml:space="preserve"> - inclinação das vertentes</w:t>
            </w:r>
            <w:r w:rsidR="003533CF" w:rsidRPr="00752DBA">
              <w:rPr>
                <w:sz w:val="22"/>
                <w:szCs w:val="22"/>
              </w:rPr>
              <w:t xml:space="preserve"> ou declive</w:t>
            </w:r>
          </w:p>
        </w:tc>
        <w:tc>
          <w:tcPr>
            <w:tcW w:w="0" w:type="auto"/>
          </w:tcPr>
          <w:p w:rsidR="00D36B8E" w:rsidRPr="00752DBA" w:rsidRDefault="00D36B8E" w:rsidP="00492220">
            <w:pPr>
              <w:rPr>
                <w:sz w:val="22"/>
                <w:szCs w:val="22"/>
              </w:rPr>
            </w:pPr>
          </w:p>
        </w:tc>
        <w:tc>
          <w:tcPr>
            <w:tcW w:w="0" w:type="auto"/>
          </w:tcPr>
          <w:p w:rsidR="00D36B8E" w:rsidRPr="00752DBA" w:rsidRDefault="00492220" w:rsidP="00492220">
            <w:pPr>
              <w:rPr>
                <w:sz w:val="22"/>
                <w:szCs w:val="22"/>
              </w:rPr>
            </w:pPr>
            <w:r w:rsidRPr="00752DBA">
              <w:rPr>
                <w:sz w:val="22"/>
                <w:szCs w:val="22"/>
              </w:rPr>
              <w:t>Quando se está a calcular o declive através de SIG deve ter-se em atenção, nos logaritmos utilizados, se o declive é em graus, radianos ou percentagem</w:t>
            </w:r>
            <w:r w:rsidR="003533CF" w:rsidRPr="00752DBA">
              <w:rPr>
                <w:sz w:val="22"/>
                <w:szCs w:val="22"/>
              </w:rPr>
              <w:t>, pois no cálculo de LS,</w:t>
            </w:r>
            <w:r w:rsidRPr="00752DBA">
              <w:rPr>
                <w:sz w:val="22"/>
                <w:szCs w:val="22"/>
              </w:rPr>
              <w:t xml:space="preserve"> </w:t>
            </w:r>
            <w:r w:rsidR="003533CF" w:rsidRPr="00752DBA">
              <w:rPr>
                <w:sz w:val="22"/>
                <w:szCs w:val="22"/>
              </w:rPr>
              <w:t xml:space="preserve">θ está em radianos. </w:t>
            </w:r>
          </w:p>
        </w:tc>
      </w:tr>
      <w:tr w:rsidR="00D36B8E" w:rsidRPr="00752DBA" w:rsidTr="00464A2D">
        <w:trPr>
          <w:tblHeader/>
        </w:trPr>
        <w:tc>
          <w:tcPr>
            <w:tcW w:w="0" w:type="auto"/>
          </w:tcPr>
          <w:p w:rsidR="00D36B8E" w:rsidRPr="00752DBA" w:rsidRDefault="00D36B8E" w:rsidP="00ED3C9B">
            <w:pPr>
              <w:rPr>
                <w:b/>
                <w:bCs/>
                <w:sz w:val="22"/>
                <w:szCs w:val="22"/>
              </w:rPr>
            </w:pPr>
            <w:r w:rsidRPr="00752DBA">
              <w:rPr>
                <w:b/>
                <w:bCs/>
                <w:sz w:val="22"/>
                <w:szCs w:val="22"/>
              </w:rPr>
              <w:lastRenderedPageBreak/>
              <w:t xml:space="preserve">LS </w:t>
            </w:r>
            <w:r w:rsidRPr="00752DBA">
              <w:rPr>
                <w:sz w:val="22"/>
                <w:szCs w:val="22"/>
              </w:rPr>
              <w:t>- Fator topográfico</w:t>
            </w:r>
          </w:p>
        </w:tc>
        <w:tc>
          <w:tcPr>
            <w:tcW w:w="0" w:type="auto"/>
          </w:tcPr>
          <w:p w:rsidR="00DD0DF6" w:rsidRDefault="00DD0DF6" w:rsidP="00DD0DF6">
            <w:pPr>
              <w:rPr>
                <w:sz w:val="22"/>
                <w:szCs w:val="22"/>
              </w:rPr>
            </w:pPr>
            <w:r>
              <w:rPr>
                <w:sz w:val="22"/>
                <w:szCs w:val="22"/>
              </w:rPr>
              <w:t xml:space="preserve">1 - </w:t>
            </w:r>
            <w:r w:rsidR="00A15FF7" w:rsidRPr="00752DBA">
              <w:rPr>
                <w:sz w:val="22"/>
                <w:szCs w:val="22"/>
              </w:rPr>
              <w:t xml:space="preserve">Para o </w:t>
            </w:r>
            <w:r w:rsidR="00090EC6" w:rsidRPr="00752DBA">
              <w:rPr>
                <w:sz w:val="22"/>
                <w:szCs w:val="22"/>
              </w:rPr>
              <w:t>fator</w:t>
            </w:r>
            <w:r w:rsidR="00A15FF7" w:rsidRPr="00752DBA">
              <w:rPr>
                <w:sz w:val="22"/>
                <w:szCs w:val="22"/>
              </w:rPr>
              <w:t xml:space="preserve"> LS os SIG utilizam uma fórmula de cálculo que é a mais referida na bibliografia de referência </w:t>
            </w:r>
            <w:r w:rsidR="00822181" w:rsidRPr="00752DBA">
              <w:rPr>
                <w:sz w:val="22"/>
                <w:szCs w:val="22"/>
              </w:rPr>
              <w:t xml:space="preserve">e </w:t>
            </w:r>
            <w:r w:rsidR="00A15FF7" w:rsidRPr="00752DBA">
              <w:rPr>
                <w:sz w:val="22"/>
                <w:szCs w:val="22"/>
              </w:rPr>
              <w:t>que assume valores médios para os expoentes. A fórmula das OENR é ligeiramente diferente</w:t>
            </w:r>
            <w:r w:rsidR="00090EC6" w:rsidRPr="00752DBA">
              <w:rPr>
                <w:sz w:val="22"/>
                <w:szCs w:val="22"/>
              </w:rPr>
              <w:t xml:space="preserve"> e mais complexa</w:t>
            </w:r>
            <w:r w:rsidR="00A15FF7" w:rsidRPr="00752DBA">
              <w:rPr>
                <w:sz w:val="22"/>
                <w:szCs w:val="22"/>
              </w:rPr>
              <w:t xml:space="preserve">. </w:t>
            </w:r>
            <w:r w:rsidRPr="00752DBA">
              <w:rPr>
                <w:sz w:val="22"/>
                <w:szCs w:val="22"/>
              </w:rPr>
              <w:t xml:space="preserve"> </w:t>
            </w:r>
          </w:p>
          <w:p w:rsidR="00DD0DF6" w:rsidRPr="00752DBA" w:rsidRDefault="00DD0DF6" w:rsidP="00DD0DF6">
            <w:pPr>
              <w:rPr>
                <w:sz w:val="22"/>
                <w:szCs w:val="22"/>
              </w:rPr>
            </w:pPr>
            <w:r w:rsidRPr="00752DBA">
              <w:rPr>
                <w:sz w:val="22"/>
                <w:szCs w:val="22"/>
              </w:rPr>
              <w:t xml:space="preserve">A fórmula proposta na legislação para o cálculo de LS é um método muito utilizado em hidrologia e o resultado final nem sempre traduz a realidade do território, devendo ser avaliado. </w:t>
            </w:r>
          </w:p>
          <w:p w:rsidR="00A15FF7" w:rsidRPr="00752DBA" w:rsidRDefault="00DD0DF6" w:rsidP="00A15FF7">
            <w:pPr>
              <w:rPr>
                <w:sz w:val="22"/>
                <w:szCs w:val="22"/>
              </w:rPr>
            </w:pPr>
            <w:r>
              <w:rPr>
                <w:sz w:val="22"/>
                <w:szCs w:val="22"/>
              </w:rPr>
              <w:t xml:space="preserve"> 2 -</w:t>
            </w:r>
            <w:r w:rsidR="00A15FF7" w:rsidRPr="00752DBA">
              <w:rPr>
                <w:sz w:val="22"/>
                <w:szCs w:val="22"/>
              </w:rPr>
              <w:t xml:space="preserve">A </w:t>
            </w:r>
            <w:proofErr w:type="gramStart"/>
            <w:r w:rsidR="00A15FF7" w:rsidRPr="00752DBA">
              <w:rPr>
                <w:sz w:val="22"/>
                <w:szCs w:val="22"/>
              </w:rPr>
              <w:t xml:space="preserve">expressão  </w:t>
            </w:r>
            <w:proofErr w:type="gramEnd"/>
            <w:r w:rsidR="00A15FF7" w:rsidRPr="00752DBA">
              <w:rPr>
                <w:sz w:val="22"/>
                <w:szCs w:val="22"/>
                <w:lang w:eastAsia="en-US"/>
              </w:rPr>
              <w:object w:dxaOrig="622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8.75pt" o:ole="">
                  <v:imagedata r:id="rId9" o:title=""/>
                </v:shape>
                <o:OLEObject Type="Embed" ProgID="PBrush" ShapeID="_x0000_i1025" DrawAspect="Content" ObjectID="_1528019661" r:id="rId10"/>
              </w:object>
            </w:r>
          </w:p>
          <w:p w:rsidR="00A15FF7" w:rsidRPr="00752DBA" w:rsidRDefault="00A15FF7" w:rsidP="00A15FF7">
            <w:pPr>
              <w:rPr>
                <w:sz w:val="22"/>
                <w:szCs w:val="22"/>
              </w:rPr>
            </w:pPr>
            <w:r w:rsidRPr="00752DBA">
              <w:rPr>
                <w:sz w:val="22"/>
                <w:szCs w:val="22"/>
              </w:rPr>
              <w:t>está em unidades anglo-saxónicas</w:t>
            </w:r>
            <w:r w:rsidR="00822181" w:rsidRPr="00752DBA">
              <w:rPr>
                <w:sz w:val="22"/>
                <w:szCs w:val="22"/>
              </w:rPr>
              <w:t xml:space="preserve"> (72,6 significa que o valore de  λ estão em pés)</w:t>
            </w:r>
            <w:r w:rsidRPr="00752DBA">
              <w:rPr>
                <w:sz w:val="22"/>
                <w:szCs w:val="22"/>
              </w:rPr>
              <w:t xml:space="preserve">. </w:t>
            </w:r>
          </w:p>
          <w:p w:rsidR="002B267D" w:rsidRPr="00752DBA" w:rsidRDefault="002B267D" w:rsidP="00492220">
            <w:pPr>
              <w:rPr>
                <w:sz w:val="22"/>
                <w:szCs w:val="22"/>
              </w:rPr>
            </w:pPr>
            <w:commentRangeStart w:id="11"/>
            <w:r w:rsidRPr="00752DBA">
              <w:rPr>
                <w:sz w:val="22"/>
                <w:szCs w:val="22"/>
              </w:rPr>
              <w:t>Há uma omissão na legislação relativamente às unidades</w:t>
            </w:r>
            <w:r w:rsidR="007317C1" w:rsidRPr="00752DBA">
              <w:rPr>
                <w:sz w:val="22"/>
                <w:szCs w:val="22"/>
              </w:rPr>
              <w:t>, o que dificulta a aplicação da fórmula</w:t>
            </w:r>
            <w:commentRangeEnd w:id="11"/>
            <w:r w:rsidR="007317C1" w:rsidRPr="00752DBA">
              <w:rPr>
                <w:rStyle w:val="Refdecomentrio"/>
                <w:sz w:val="22"/>
                <w:szCs w:val="22"/>
                <w:lang w:eastAsia="en-US"/>
              </w:rPr>
              <w:commentReference w:id="11"/>
            </w:r>
            <w:r w:rsidR="007317C1" w:rsidRPr="00752DBA">
              <w:rPr>
                <w:sz w:val="22"/>
                <w:szCs w:val="22"/>
              </w:rPr>
              <w:t>.</w:t>
            </w:r>
          </w:p>
          <w:p w:rsidR="00D65417" w:rsidRPr="00752DBA" w:rsidRDefault="00D65417" w:rsidP="00DD0DF6">
            <w:pPr>
              <w:rPr>
                <w:sz w:val="22"/>
                <w:szCs w:val="22"/>
              </w:rPr>
            </w:pPr>
          </w:p>
        </w:tc>
        <w:tc>
          <w:tcPr>
            <w:tcW w:w="0" w:type="auto"/>
          </w:tcPr>
          <w:p w:rsidR="00D65417" w:rsidRDefault="00DD0DF6" w:rsidP="00CF7000">
            <w:pPr>
              <w:rPr>
                <w:rFonts w:asciiTheme="minorHAnsi" w:hAnsiTheme="minorHAnsi"/>
                <w:color w:val="632423" w:themeColor="accent2" w:themeShade="80"/>
                <w:sz w:val="22"/>
                <w:szCs w:val="22"/>
              </w:rPr>
            </w:pPr>
            <w:r>
              <w:rPr>
                <w:rFonts w:asciiTheme="minorHAnsi" w:hAnsiTheme="minorHAnsi"/>
                <w:color w:val="632423" w:themeColor="accent2" w:themeShade="80"/>
                <w:sz w:val="22"/>
                <w:szCs w:val="22"/>
              </w:rPr>
              <w:t xml:space="preserve">1 - </w:t>
            </w:r>
            <w:r w:rsidR="00090EC6" w:rsidRPr="00752DBA">
              <w:rPr>
                <w:rFonts w:asciiTheme="minorHAnsi" w:hAnsiTheme="minorHAnsi"/>
                <w:color w:val="632423" w:themeColor="accent2" w:themeShade="80"/>
                <w:sz w:val="22"/>
                <w:szCs w:val="22"/>
              </w:rPr>
              <w:t xml:space="preserve">Considerando que as OENR indicam a possibilidade de utilização de ferramenta SIG para o cálculo do LS, é apresentada no </w:t>
            </w:r>
            <w:r>
              <w:rPr>
                <w:rFonts w:asciiTheme="minorHAnsi" w:hAnsiTheme="minorHAnsi"/>
                <w:color w:val="632423" w:themeColor="accent2" w:themeShade="80"/>
                <w:sz w:val="22"/>
                <w:szCs w:val="22"/>
              </w:rPr>
              <w:t>G</w:t>
            </w:r>
            <w:r w:rsidR="00CF7000" w:rsidRPr="00752DBA">
              <w:rPr>
                <w:rFonts w:asciiTheme="minorHAnsi" w:hAnsiTheme="minorHAnsi"/>
                <w:color w:val="632423" w:themeColor="accent2" w:themeShade="80"/>
                <w:sz w:val="22"/>
                <w:szCs w:val="22"/>
              </w:rPr>
              <w:t xml:space="preserve">M CCDR LVT  </w:t>
            </w:r>
            <w:r w:rsidR="00090EC6" w:rsidRPr="00752DBA">
              <w:rPr>
                <w:rFonts w:asciiTheme="minorHAnsi" w:hAnsiTheme="minorHAnsi"/>
                <w:color w:val="632423" w:themeColor="accent2" w:themeShade="80"/>
                <w:sz w:val="22"/>
                <w:szCs w:val="22"/>
              </w:rPr>
              <w:t xml:space="preserve">uma expressão alternativa que foi testada por algumas CM e que se mostrou fiável (modelo desenvolvido por Mitasova). </w:t>
            </w:r>
            <w:r w:rsidR="00D65417" w:rsidRPr="00752DBA">
              <w:rPr>
                <w:rFonts w:asciiTheme="minorHAnsi" w:hAnsiTheme="minorHAnsi"/>
                <w:color w:val="632423" w:themeColor="accent2" w:themeShade="80"/>
                <w:sz w:val="22"/>
                <w:szCs w:val="22"/>
              </w:rPr>
              <w:t xml:space="preserve"> </w:t>
            </w:r>
          </w:p>
          <w:p w:rsidR="00DD0DF6" w:rsidRDefault="00DD0DF6" w:rsidP="00DD0DF6">
            <w:pPr>
              <w:rPr>
                <w:sz w:val="22"/>
                <w:szCs w:val="22"/>
              </w:rPr>
            </w:pPr>
            <w:r>
              <w:rPr>
                <w:rFonts w:asciiTheme="minorHAnsi" w:hAnsiTheme="minorHAnsi"/>
                <w:color w:val="632423" w:themeColor="accent2" w:themeShade="80"/>
                <w:sz w:val="22"/>
                <w:szCs w:val="22"/>
              </w:rPr>
              <w:t xml:space="preserve">2 - </w:t>
            </w:r>
            <w:r w:rsidRPr="00752DBA">
              <w:rPr>
                <w:sz w:val="22"/>
                <w:szCs w:val="22"/>
              </w:rPr>
              <w:t xml:space="preserve"> Para λ estar em </w:t>
            </w:r>
            <w:commentRangeStart w:id="12"/>
            <w:r w:rsidRPr="00752DBA">
              <w:rPr>
                <w:sz w:val="22"/>
                <w:szCs w:val="22"/>
                <w:highlight w:val="magenta"/>
              </w:rPr>
              <w:t>unidades métricas</w:t>
            </w:r>
            <w:r w:rsidRPr="00752DBA">
              <w:rPr>
                <w:sz w:val="22"/>
                <w:szCs w:val="22"/>
              </w:rPr>
              <w:t xml:space="preserve">, </w:t>
            </w:r>
            <w:commentRangeEnd w:id="12"/>
            <w:r w:rsidRPr="00752DBA">
              <w:rPr>
                <w:rStyle w:val="Refdecomentrio"/>
                <w:sz w:val="22"/>
                <w:szCs w:val="22"/>
                <w:lang w:eastAsia="en-US"/>
              </w:rPr>
              <w:commentReference w:id="12"/>
            </w:r>
            <w:r w:rsidRPr="00752DBA">
              <w:rPr>
                <w:sz w:val="22"/>
                <w:szCs w:val="22"/>
              </w:rPr>
              <w:t>o denominador “72,6” deve ser substituído por “22,13”.</w:t>
            </w:r>
          </w:p>
          <w:p w:rsidR="00DD0DF6" w:rsidRPr="00DD0DF6" w:rsidRDefault="00DD0DF6" w:rsidP="00DD0DF6">
            <w:pPr>
              <w:jc w:val="both"/>
              <w:rPr>
                <w:sz w:val="22"/>
                <w:szCs w:val="22"/>
                <w:u w:val="single"/>
              </w:rPr>
            </w:pPr>
            <w:r w:rsidRPr="00A55E8B">
              <w:rPr>
                <w:sz w:val="22"/>
                <w:szCs w:val="22"/>
                <w:u w:val="single"/>
              </w:rPr>
              <w:t>Outras soluções</w:t>
            </w:r>
            <w:r>
              <w:rPr>
                <w:sz w:val="22"/>
                <w:szCs w:val="22"/>
                <w:u w:val="single"/>
              </w:rPr>
              <w:t>:</w:t>
            </w:r>
          </w:p>
          <w:p w:rsidR="00D36B8E" w:rsidRPr="00752DBA" w:rsidRDefault="00E37FB8" w:rsidP="00CF7000">
            <w:pPr>
              <w:rPr>
                <w:sz w:val="22"/>
                <w:szCs w:val="22"/>
              </w:rPr>
            </w:pPr>
            <w:r w:rsidRPr="00752DBA">
              <w:rPr>
                <w:rFonts w:asciiTheme="minorHAnsi" w:hAnsiTheme="minorHAnsi"/>
                <w:color w:val="632423" w:themeColor="accent2" w:themeShade="80"/>
                <w:sz w:val="22"/>
                <w:szCs w:val="22"/>
              </w:rPr>
              <w:t xml:space="preserve">Relativamente à componente </w:t>
            </w:r>
            <w:r w:rsidRPr="00752DBA">
              <w:rPr>
                <w:color w:val="632423" w:themeColor="accent2" w:themeShade="80"/>
                <w:sz w:val="22"/>
                <w:szCs w:val="22"/>
              </w:rPr>
              <w:t>θ</w:t>
            </w:r>
            <w:r w:rsidRPr="00752DBA">
              <w:rPr>
                <w:rFonts w:asciiTheme="minorHAnsi" w:hAnsiTheme="minorHAnsi"/>
                <w:color w:val="632423" w:themeColor="accent2" w:themeShade="80"/>
                <w:sz w:val="22"/>
                <w:szCs w:val="22"/>
              </w:rPr>
              <w:t xml:space="preserve">  (ângulo associado à inclinação do desnível), s</w:t>
            </w:r>
            <w:r w:rsidR="00D65417" w:rsidRPr="00752DBA">
              <w:rPr>
                <w:rFonts w:asciiTheme="minorHAnsi" w:hAnsiTheme="minorHAnsi"/>
                <w:color w:val="632423" w:themeColor="accent2" w:themeShade="80"/>
                <w:sz w:val="22"/>
                <w:szCs w:val="22"/>
              </w:rPr>
              <w:t>endo utilizado software que calcula os senos com base na medida angular – radianos - o declive é apresentado em radianos. Criam-se duas cartas de declives, uma em percentagem para cálculo do expoente “m” e outra em graus para ser convertido num mapa de inclinações em radianos (θ).</w:t>
            </w:r>
          </w:p>
        </w:tc>
      </w:tr>
      <w:tr w:rsidR="00A379F8" w:rsidRPr="00752DBA" w:rsidTr="00464A2D">
        <w:trPr>
          <w:tblHeader/>
        </w:trPr>
        <w:tc>
          <w:tcPr>
            <w:tcW w:w="0" w:type="auto"/>
          </w:tcPr>
          <w:p w:rsidR="00A379F8" w:rsidRPr="00752DBA" w:rsidRDefault="00A379F8" w:rsidP="00ED3C9B">
            <w:pPr>
              <w:rPr>
                <w:sz w:val="22"/>
                <w:szCs w:val="22"/>
              </w:rPr>
            </w:pPr>
            <w:r w:rsidRPr="00752DBA">
              <w:rPr>
                <w:b/>
                <w:sz w:val="22"/>
                <w:szCs w:val="22"/>
              </w:rPr>
              <w:lastRenderedPageBreak/>
              <w:t>C</w:t>
            </w:r>
            <w:r w:rsidRPr="00752DBA">
              <w:rPr>
                <w:sz w:val="22"/>
                <w:szCs w:val="22"/>
              </w:rPr>
              <w:t xml:space="preserve"> - cobertura do solo</w:t>
            </w:r>
          </w:p>
        </w:tc>
        <w:tc>
          <w:tcPr>
            <w:tcW w:w="0" w:type="auto"/>
          </w:tcPr>
          <w:p w:rsidR="00A379F8" w:rsidRPr="00752DBA" w:rsidRDefault="00DD0DF6" w:rsidP="00FB7148">
            <w:pPr>
              <w:jc w:val="both"/>
              <w:rPr>
                <w:sz w:val="22"/>
                <w:szCs w:val="22"/>
              </w:rPr>
            </w:pPr>
            <w:r>
              <w:rPr>
                <w:sz w:val="22"/>
                <w:szCs w:val="22"/>
              </w:rPr>
              <w:t xml:space="preserve">1 - </w:t>
            </w:r>
            <w:r w:rsidR="00A379F8" w:rsidRPr="00752DBA">
              <w:rPr>
                <w:sz w:val="22"/>
                <w:szCs w:val="22"/>
              </w:rPr>
              <w:t xml:space="preserve">O fator </w:t>
            </w:r>
            <w:r w:rsidR="00A379F8" w:rsidRPr="00DD0DF6">
              <w:rPr>
                <w:i/>
                <w:sz w:val="22"/>
                <w:szCs w:val="22"/>
              </w:rPr>
              <w:t>C</w:t>
            </w:r>
            <w:r w:rsidR="00A379F8" w:rsidRPr="00752DBA">
              <w:rPr>
                <w:sz w:val="22"/>
                <w:szCs w:val="22"/>
              </w:rPr>
              <w:t xml:space="preserve"> assume uma determinada cobertura do solo que pode não ser a que existe no terreno no momento de delimitação da REN, pois as cartas de ocupação do solo têm, em muitos dos casos, um desfasamento temporal em relação à data da delimitação da REN. Para além deste aspeto, a ocupação do solo pode estar em contínua alteração, não correspondendo necessariamente à ocupação de solo considerada no momento da delimitação da REN (por exemplo, à data da delimitação da REN o solo estava protegido por um determinado coberto vegetal que pode ter desaparecido na sequência de um incêndio florestal).</w:t>
            </w:r>
          </w:p>
          <w:p w:rsidR="00D65417" w:rsidRPr="00752DBA" w:rsidRDefault="00D65417" w:rsidP="00FB7148">
            <w:pPr>
              <w:jc w:val="both"/>
              <w:rPr>
                <w:sz w:val="22"/>
                <w:szCs w:val="22"/>
              </w:rPr>
            </w:pPr>
          </w:p>
        </w:tc>
        <w:tc>
          <w:tcPr>
            <w:tcW w:w="0" w:type="auto"/>
          </w:tcPr>
          <w:p w:rsidR="00A379F8" w:rsidRPr="00DD0DF6" w:rsidRDefault="00DD0DF6" w:rsidP="00FB7148">
            <w:pPr>
              <w:rPr>
                <w:sz w:val="22"/>
                <w:szCs w:val="22"/>
              </w:rPr>
            </w:pPr>
            <w:r w:rsidRPr="00DD0DF6">
              <w:rPr>
                <w:sz w:val="22"/>
                <w:szCs w:val="22"/>
              </w:rPr>
              <w:t xml:space="preserve">1 - </w:t>
            </w:r>
            <w:r w:rsidR="00A379F8" w:rsidRPr="00DD0DF6">
              <w:rPr>
                <w:sz w:val="22"/>
                <w:szCs w:val="22"/>
              </w:rPr>
              <w:t xml:space="preserve">Considerar o C e P igual a 1? </w:t>
            </w:r>
          </w:p>
          <w:p w:rsidR="00A379F8" w:rsidRPr="00DD0DF6" w:rsidRDefault="00DD0DF6" w:rsidP="00DD0DF6">
            <w:pPr>
              <w:rPr>
                <w:sz w:val="22"/>
                <w:szCs w:val="22"/>
              </w:rPr>
            </w:pPr>
            <w:r w:rsidRPr="00DD0DF6">
              <w:rPr>
                <w:sz w:val="22"/>
                <w:szCs w:val="22"/>
              </w:rPr>
              <w:t xml:space="preserve">1 - </w:t>
            </w:r>
            <w:r w:rsidR="00A379F8" w:rsidRPr="00DD0DF6">
              <w:rPr>
                <w:sz w:val="22"/>
                <w:szCs w:val="22"/>
              </w:rPr>
              <w:t>Fazer ajustamentos regionais?</w:t>
            </w:r>
          </w:p>
          <w:p w:rsidR="007706C5" w:rsidRPr="00752DBA" w:rsidRDefault="00DD0DF6" w:rsidP="00DD0DF6">
            <w:pPr>
              <w:jc w:val="both"/>
              <w:rPr>
                <w:rFonts w:asciiTheme="minorHAnsi" w:hAnsiTheme="minorHAnsi"/>
                <w:color w:val="632423" w:themeColor="accent2" w:themeShade="80"/>
                <w:sz w:val="22"/>
                <w:szCs w:val="22"/>
              </w:rPr>
            </w:pPr>
            <w:r>
              <w:rPr>
                <w:sz w:val="22"/>
                <w:szCs w:val="22"/>
              </w:rPr>
              <w:t xml:space="preserve">1 </w:t>
            </w:r>
            <w:r w:rsidR="00A379F8" w:rsidRPr="00752DBA">
              <w:rPr>
                <w:sz w:val="22"/>
                <w:szCs w:val="22"/>
              </w:rPr>
              <w:t xml:space="preserve">Considerando que os fatores </w:t>
            </w:r>
            <w:r w:rsidR="00A379F8" w:rsidRPr="00DD0DF6">
              <w:rPr>
                <w:i/>
                <w:sz w:val="22"/>
                <w:szCs w:val="22"/>
              </w:rPr>
              <w:t>C</w:t>
            </w:r>
            <w:r w:rsidR="00A379F8" w:rsidRPr="00752DBA">
              <w:rPr>
                <w:sz w:val="22"/>
                <w:szCs w:val="22"/>
              </w:rPr>
              <w:t xml:space="preserve"> e </w:t>
            </w:r>
            <w:r w:rsidR="00A379F8" w:rsidRPr="00DD0DF6">
              <w:rPr>
                <w:i/>
                <w:sz w:val="22"/>
                <w:szCs w:val="22"/>
              </w:rPr>
              <w:t>P</w:t>
            </w:r>
            <w:r w:rsidR="00A379F8" w:rsidRPr="00752DBA">
              <w:rPr>
                <w:sz w:val="22"/>
                <w:szCs w:val="22"/>
              </w:rPr>
              <w:t xml:space="preserve"> são mutáveis no tempo e no espaço, o que dificulta a sua determinação, sobretudo em territórios com grande heterogeneidade</w:t>
            </w:r>
            <w:r w:rsidR="00A379F8" w:rsidRPr="00DD0DF6">
              <w:rPr>
                <w:sz w:val="22"/>
                <w:szCs w:val="22"/>
              </w:rPr>
              <w:t>, a CNREN</w:t>
            </w:r>
            <w:r w:rsidR="00A379F8" w:rsidRPr="00752DBA">
              <w:rPr>
                <w:sz w:val="22"/>
                <w:szCs w:val="22"/>
              </w:rPr>
              <w:t xml:space="preserve"> recomendou em 2013 (ver reco</w:t>
            </w:r>
            <w:r>
              <w:rPr>
                <w:sz w:val="22"/>
                <w:szCs w:val="22"/>
              </w:rPr>
              <w:t>mendação técnica de 24.09.2013)</w:t>
            </w:r>
            <w:r w:rsidR="00A379F8" w:rsidRPr="00752DBA">
              <w:rPr>
                <w:sz w:val="22"/>
                <w:szCs w:val="22"/>
              </w:rPr>
              <w:t xml:space="preserve"> que, perante a «dificuldade em determinar um valor que traduza a mutabilidade e heterogeneidade associada aos fatores relacionados com o uso do solo e a atividade humana, e por forma a assumirem um carácter preventivo, podem considerar-se na aplicação da EUPS, os valores constantes que melhor traduzam os fatores C e P</w:t>
            </w:r>
            <w:r w:rsidR="00A379F8" w:rsidRPr="00752DBA">
              <w:rPr>
                <w:i/>
                <w:sz w:val="22"/>
                <w:szCs w:val="22"/>
              </w:rPr>
              <w:t>»</w:t>
            </w:r>
            <w:r w:rsidR="00A379F8" w:rsidRPr="00752DBA">
              <w:rPr>
                <w:sz w:val="22"/>
                <w:szCs w:val="22"/>
              </w:rPr>
              <w:t>.</w:t>
            </w:r>
            <w:r w:rsidR="007706C5" w:rsidRPr="00752DBA">
              <w:rPr>
                <w:rFonts w:asciiTheme="minorHAnsi" w:hAnsiTheme="minorHAnsi"/>
                <w:color w:val="632423" w:themeColor="accent2" w:themeShade="80"/>
                <w:sz w:val="22"/>
                <w:szCs w:val="22"/>
              </w:rPr>
              <w:t xml:space="preserve"> </w:t>
            </w:r>
          </w:p>
          <w:p w:rsidR="00A379F8" w:rsidRPr="00752DBA" w:rsidRDefault="00DD0DF6" w:rsidP="00DD0DF6">
            <w:pPr>
              <w:jc w:val="both"/>
              <w:rPr>
                <w:sz w:val="22"/>
                <w:szCs w:val="22"/>
                <w:highlight w:val="yellow"/>
              </w:rPr>
            </w:pPr>
            <w:r>
              <w:rPr>
                <w:rFonts w:asciiTheme="minorHAnsi" w:hAnsiTheme="minorHAnsi"/>
                <w:color w:val="632423" w:themeColor="accent2" w:themeShade="80"/>
                <w:sz w:val="22"/>
                <w:szCs w:val="22"/>
              </w:rPr>
              <w:t xml:space="preserve">1 - </w:t>
            </w:r>
            <w:r w:rsidR="007706C5" w:rsidRPr="00752DBA">
              <w:rPr>
                <w:rFonts w:asciiTheme="minorHAnsi" w:hAnsiTheme="minorHAnsi"/>
                <w:color w:val="632423" w:themeColor="accent2" w:themeShade="80"/>
                <w:sz w:val="22"/>
                <w:szCs w:val="22"/>
              </w:rPr>
              <w:t>Na impossibilidade de determinar um valor que traduza aquelas mutabilidade e heterogeneidade,</w:t>
            </w:r>
            <w:r w:rsidR="00CF7000" w:rsidRPr="00752DBA">
              <w:rPr>
                <w:rFonts w:asciiTheme="minorHAnsi" w:hAnsiTheme="minorHAnsi"/>
                <w:color w:val="632423" w:themeColor="accent2" w:themeShade="80"/>
                <w:sz w:val="22"/>
                <w:szCs w:val="22"/>
              </w:rPr>
              <w:t xml:space="preserve"> o </w:t>
            </w:r>
            <w:r w:rsidR="007706C5" w:rsidRPr="00752DBA">
              <w:rPr>
                <w:rFonts w:asciiTheme="minorHAnsi" w:hAnsiTheme="minorHAnsi"/>
                <w:color w:val="632423" w:themeColor="accent2" w:themeShade="80"/>
                <w:sz w:val="22"/>
                <w:szCs w:val="22"/>
              </w:rPr>
              <w:t xml:space="preserve"> </w:t>
            </w:r>
            <w:r w:rsidR="00CF7000" w:rsidRPr="00752DBA">
              <w:rPr>
                <w:rFonts w:asciiTheme="minorHAnsi" w:hAnsiTheme="minorHAnsi"/>
                <w:color w:val="632423" w:themeColor="accent2" w:themeShade="80"/>
                <w:sz w:val="22"/>
                <w:szCs w:val="22"/>
              </w:rPr>
              <w:t>GM CCDR LVT  recomenda que os fatores C e P assuma</w:t>
            </w:r>
            <w:r w:rsidR="007706C5" w:rsidRPr="00752DBA">
              <w:rPr>
                <w:rFonts w:asciiTheme="minorHAnsi" w:hAnsiTheme="minorHAnsi"/>
                <w:color w:val="632423" w:themeColor="accent2" w:themeShade="80"/>
                <w:sz w:val="22"/>
                <w:szCs w:val="22"/>
              </w:rPr>
              <w:t>m cada um, com caracter preventivo, um valor constante que n</w:t>
            </w:r>
            <w:r w:rsidR="00CF7000" w:rsidRPr="00752DBA">
              <w:rPr>
                <w:rFonts w:asciiTheme="minorHAnsi" w:hAnsiTheme="minorHAnsi"/>
                <w:color w:val="632423" w:themeColor="accent2" w:themeShade="80"/>
                <w:sz w:val="22"/>
                <w:szCs w:val="22"/>
              </w:rPr>
              <w:t>ão afete</w:t>
            </w:r>
            <w:r w:rsidR="007706C5" w:rsidRPr="00752DBA">
              <w:rPr>
                <w:rFonts w:asciiTheme="minorHAnsi" w:hAnsiTheme="minorHAnsi"/>
                <w:color w:val="632423" w:themeColor="accent2" w:themeShade="80"/>
                <w:sz w:val="22"/>
                <w:szCs w:val="22"/>
              </w:rPr>
              <w:t xml:space="preserve"> o resultado das restantes variáveis (o valor 1). </w:t>
            </w:r>
          </w:p>
        </w:tc>
      </w:tr>
      <w:tr w:rsidR="00A379F8" w:rsidRPr="00752DBA" w:rsidTr="00464A2D">
        <w:trPr>
          <w:tblHeader/>
        </w:trPr>
        <w:tc>
          <w:tcPr>
            <w:tcW w:w="0" w:type="auto"/>
          </w:tcPr>
          <w:p w:rsidR="00A379F8" w:rsidRPr="00752DBA" w:rsidRDefault="00A379F8" w:rsidP="00FB7148">
            <w:pPr>
              <w:rPr>
                <w:sz w:val="22"/>
                <w:szCs w:val="22"/>
              </w:rPr>
            </w:pPr>
            <w:r w:rsidRPr="00752DBA">
              <w:rPr>
                <w:b/>
                <w:sz w:val="22"/>
                <w:szCs w:val="22"/>
              </w:rPr>
              <w:lastRenderedPageBreak/>
              <w:t xml:space="preserve">P </w:t>
            </w:r>
            <w:r w:rsidRPr="00752DBA">
              <w:rPr>
                <w:sz w:val="22"/>
                <w:szCs w:val="22"/>
              </w:rPr>
              <w:t>– Fator Antrópic</w:t>
            </w:r>
            <w:r w:rsidR="00FF19D3">
              <w:rPr>
                <w:sz w:val="22"/>
                <w:szCs w:val="22"/>
              </w:rPr>
              <w:t>o</w:t>
            </w:r>
          </w:p>
        </w:tc>
        <w:tc>
          <w:tcPr>
            <w:tcW w:w="0" w:type="auto"/>
          </w:tcPr>
          <w:p w:rsidR="00A379F8" w:rsidRPr="00752DBA" w:rsidRDefault="00A379F8" w:rsidP="00FB7148">
            <w:pPr>
              <w:jc w:val="both"/>
              <w:rPr>
                <w:sz w:val="22"/>
                <w:szCs w:val="22"/>
              </w:rPr>
            </w:pPr>
            <w:r w:rsidRPr="00752DBA">
              <w:rPr>
                <w:sz w:val="22"/>
                <w:szCs w:val="22"/>
              </w:rPr>
              <w:t xml:space="preserve">Nas ONR o </w:t>
            </w:r>
            <w:r w:rsidRPr="00DD0DF6">
              <w:rPr>
                <w:i/>
                <w:sz w:val="22"/>
                <w:szCs w:val="22"/>
              </w:rPr>
              <w:t>P</w:t>
            </w:r>
            <w:r w:rsidRPr="00752DBA">
              <w:rPr>
                <w:sz w:val="22"/>
                <w:szCs w:val="22"/>
              </w:rPr>
              <w:t xml:space="preserve"> é baseado na densidade populacional dos concelhos do continente (hab/km</w:t>
            </w:r>
            <w:r w:rsidRPr="00752DBA">
              <w:rPr>
                <w:sz w:val="22"/>
                <w:szCs w:val="22"/>
                <w:vertAlign w:val="superscript"/>
              </w:rPr>
              <w:t>2</w:t>
            </w:r>
            <w:r w:rsidRPr="00752DBA">
              <w:rPr>
                <w:sz w:val="22"/>
                <w:szCs w:val="22"/>
              </w:rPr>
              <w:t>), obtida através dos dados do INE, quando no modelo de Wischmeier este fator está ligado à prática agrícola.</w:t>
            </w:r>
          </w:p>
          <w:p w:rsidR="00A379F8" w:rsidRPr="00752DBA" w:rsidRDefault="00A379F8" w:rsidP="00FB7148">
            <w:pPr>
              <w:jc w:val="both"/>
              <w:rPr>
                <w:sz w:val="22"/>
                <w:szCs w:val="22"/>
              </w:rPr>
            </w:pPr>
            <w:r w:rsidRPr="00752DBA">
              <w:rPr>
                <w:sz w:val="22"/>
                <w:szCs w:val="22"/>
              </w:rPr>
              <w:t xml:space="preserve">Um mesmo concelho pode ter densidades muito distintas, e o valor médio não traduzir a realidade do território. Do mesmo modo dois concelhos contíguos podem ter densidades muito diferentes, sendo que a utilização deste fator pode impedir a continuidade entre as respetivas REN, ao nível desta componente.  </w:t>
            </w:r>
          </w:p>
          <w:p w:rsidR="00A379F8" w:rsidRPr="00752DBA" w:rsidRDefault="00A379F8" w:rsidP="007B01EC">
            <w:pPr>
              <w:jc w:val="both"/>
              <w:rPr>
                <w:sz w:val="22"/>
                <w:szCs w:val="22"/>
              </w:rPr>
            </w:pPr>
            <w:r w:rsidRPr="00752DBA">
              <w:rPr>
                <w:sz w:val="22"/>
                <w:szCs w:val="22"/>
              </w:rPr>
              <w:t>Por outro lado, se P respeitar à prática agrícola, e considerando que esta é extremamente variável no tempo, pode não haver sempre coincidência entre os valores assumidos pelo fator P, no momento da delimitação da REN, e o período em que a carta está vigor.</w:t>
            </w:r>
          </w:p>
        </w:tc>
        <w:tc>
          <w:tcPr>
            <w:tcW w:w="0" w:type="auto"/>
          </w:tcPr>
          <w:p w:rsidR="00A379F8" w:rsidRPr="00752DBA" w:rsidRDefault="00DD0DF6" w:rsidP="00FB7148">
            <w:pPr>
              <w:rPr>
                <w:sz w:val="22"/>
                <w:szCs w:val="22"/>
              </w:rPr>
            </w:pPr>
            <w:r>
              <w:rPr>
                <w:sz w:val="22"/>
                <w:szCs w:val="22"/>
              </w:rPr>
              <w:t xml:space="preserve">As mesmas soluções preconizadas para </w:t>
            </w:r>
            <w:r w:rsidRPr="00DD0DF6">
              <w:rPr>
                <w:i/>
                <w:sz w:val="22"/>
                <w:szCs w:val="22"/>
              </w:rPr>
              <w:t>C</w:t>
            </w:r>
          </w:p>
        </w:tc>
      </w:tr>
      <w:tr w:rsidR="00A15FF7" w:rsidRPr="00752DBA" w:rsidTr="00464A2D">
        <w:trPr>
          <w:tblHeader/>
        </w:trPr>
        <w:tc>
          <w:tcPr>
            <w:tcW w:w="0" w:type="auto"/>
          </w:tcPr>
          <w:p w:rsidR="00A15FF7" w:rsidRPr="00752DBA" w:rsidRDefault="00A15FF7" w:rsidP="00FB7148">
            <w:pPr>
              <w:rPr>
                <w:b/>
                <w:sz w:val="22"/>
                <w:szCs w:val="22"/>
              </w:rPr>
            </w:pPr>
            <w:r w:rsidRPr="00752DBA">
              <w:rPr>
                <w:b/>
                <w:sz w:val="22"/>
                <w:szCs w:val="22"/>
              </w:rPr>
              <w:lastRenderedPageBreak/>
              <w:t>Classificação do Pse</w:t>
            </w:r>
            <w:r w:rsidR="003533CF" w:rsidRPr="00752DBA">
              <w:rPr>
                <w:b/>
                <w:sz w:val="22"/>
                <w:szCs w:val="22"/>
              </w:rPr>
              <w:t xml:space="preserve"> – </w:t>
            </w:r>
            <w:r w:rsidR="003533CF" w:rsidRPr="00752DBA">
              <w:rPr>
                <w:sz w:val="22"/>
                <w:szCs w:val="22"/>
              </w:rPr>
              <w:t>Avaliação qualitativa da perda de solo associada a um risco de erosão hídrica</w:t>
            </w:r>
            <w:r w:rsidR="003533CF" w:rsidRPr="00752DBA">
              <w:rPr>
                <w:b/>
                <w:sz w:val="22"/>
                <w:szCs w:val="22"/>
              </w:rPr>
              <w:t xml:space="preserve"> </w:t>
            </w:r>
          </w:p>
        </w:tc>
        <w:tc>
          <w:tcPr>
            <w:tcW w:w="0" w:type="auto"/>
          </w:tcPr>
          <w:p w:rsidR="007706C5" w:rsidRPr="00752DBA" w:rsidRDefault="00D26CBF" w:rsidP="00D26CBF">
            <w:pPr>
              <w:spacing w:after="60" w:line="240" w:lineRule="auto"/>
              <w:jc w:val="both"/>
              <w:rPr>
                <w:rFonts w:asciiTheme="minorHAnsi" w:hAnsiTheme="minorHAnsi"/>
                <w:color w:val="984806" w:themeColor="accent6" w:themeShade="80"/>
                <w:sz w:val="22"/>
                <w:szCs w:val="22"/>
              </w:rPr>
            </w:pPr>
            <w:r>
              <w:rPr>
                <w:sz w:val="22"/>
                <w:szCs w:val="22"/>
              </w:rPr>
              <w:t xml:space="preserve">1 - </w:t>
            </w:r>
            <w:r w:rsidR="009F2ADB" w:rsidRPr="00752DBA">
              <w:rPr>
                <w:sz w:val="22"/>
                <w:szCs w:val="22"/>
              </w:rPr>
              <w:t>O valor limite a partir do qual o Pse é considerado elevado (&gt;= a 55 ton/ha/ano), nem sempre é razoável para a realidade do território português, o que pode levar a  que a eficácia do regime não seja garantida, ou seja</w:t>
            </w:r>
            <w:r>
              <w:rPr>
                <w:sz w:val="22"/>
                <w:szCs w:val="22"/>
              </w:rPr>
              <w:t xml:space="preserve">, </w:t>
            </w:r>
            <w:r w:rsidR="009F2ADB" w:rsidRPr="00752DBA">
              <w:rPr>
                <w:sz w:val="22"/>
                <w:szCs w:val="22"/>
              </w:rPr>
              <w:t xml:space="preserve"> o recurso solo não esteja a ser protegido tendo em conta este critério. </w:t>
            </w:r>
            <w:r w:rsidR="007706C5" w:rsidRPr="00752DBA">
              <w:rPr>
                <w:rFonts w:asciiTheme="minorHAnsi" w:hAnsiTheme="minorHAnsi"/>
                <w:color w:val="984806" w:themeColor="accent6" w:themeShade="80"/>
                <w:sz w:val="22"/>
                <w:szCs w:val="22"/>
              </w:rPr>
              <w:t xml:space="preserve"> </w:t>
            </w:r>
          </w:p>
          <w:p w:rsidR="007706C5" w:rsidRPr="00752DBA" w:rsidRDefault="007706C5" w:rsidP="00D26CBF">
            <w:pPr>
              <w:spacing w:after="60" w:line="240" w:lineRule="auto"/>
              <w:jc w:val="both"/>
              <w:rPr>
                <w:rFonts w:asciiTheme="minorHAnsi" w:hAnsiTheme="minorHAnsi"/>
                <w:color w:val="984806" w:themeColor="accent6" w:themeShade="80"/>
                <w:sz w:val="22"/>
                <w:szCs w:val="22"/>
              </w:rPr>
            </w:pPr>
          </w:p>
          <w:p w:rsidR="007706C5" w:rsidRPr="00752DBA" w:rsidRDefault="00D26CBF" w:rsidP="00D26CBF">
            <w:pPr>
              <w:spacing w:after="60" w:line="240" w:lineRule="auto"/>
              <w:jc w:val="both"/>
              <w:rPr>
                <w:rFonts w:asciiTheme="minorHAnsi" w:hAnsiTheme="minorHAnsi"/>
                <w:color w:val="984806" w:themeColor="accent6" w:themeShade="80"/>
                <w:sz w:val="22"/>
                <w:szCs w:val="22"/>
              </w:rPr>
            </w:pPr>
            <w:r>
              <w:rPr>
                <w:rFonts w:asciiTheme="minorHAnsi" w:hAnsiTheme="minorHAnsi"/>
                <w:color w:val="984806" w:themeColor="accent6" w:themeShade="80"/>
                <w:sz w:val="22"/>
                <w:szCs w:val="22"/>
              </w:rPr>
              <w:t xml:space="preserve">1 - </w:t>
            </w:r>
            <w:r w:rsidR="007706C5" w:rsidRPr="00752DBA">
              <w:rPr>
                <w:rFonts w:asciiTheme="minorHAnsi" w:hAnsiTheme="minorHAnsi"/>
                <w:color w:val="984806" w:themeColor="accent6" w:themeShade="80"/>
                <w:sz w:val="22"/>
                <w:szCs w:val="22"/>
              </w:rPr>
              <w:t>O estudo e revisão da literatura de Verheijen et al. (2009), que aponta para taxas atuais de erosão do solo e limiares da designada “erosão do solo tolerável” na Europa, incluindo referências expressas a Portugal, muito inferiores ao valor da avaliação de risco elevado apontado na tabela da RCM nº 81/2012 de 3 de outubro, ou seja, muito inferiores ao valor de Pse &gt; = 55 ton/ha.ano;</w:t>
            </w:r>
          </w:p>
          <w:p w:rsidR="009F2ADB" w:rsidRPr="00752DBA" w:rsidRDefault="009F2ADB" w:rsidP="00D26CBF">
            <w:pPr>
              <w:jc w:val="both"/>
              <w:rPr>
                <w:sz w:val="22"/>
                <w:szCs w:val="22"/>
              </w:rPr>
            </w:pPr>
          </w:p>
        </w:tc>
        <w:tc>
          <w:tcPr>
            <w:tcW w:w="0" w:type="auto"/>
          </w:tcPr>
          <w:p w:rsidR="00A15FF7" w:rsidRPr="00752DBA" w:rsidRDefault="00D26CBF" w:rsidP="00D26CBF">
            <w:pPr>
              <w:jc w:val="both"/>
              <w:rPr>
                <w:sz w:val="22"/>
                <w:szCs w:val="22"/>
              </w:rPr>
            </w:pPr>
            <w:r>
              <w:rPr>
                <w:sz w:val="22"/>
                <w:szCs w:val="22"/>
              </w:rPr>
              <w:t xml:space="preserve">1 - </w:t>
            </w:r>
            <w:r w:rsidR="00A47FE7" w:rsidRPr="00752DBA">
              <w:rPr>
                <w:sz w:val="22"/>
                <w:szCs w:val="22"/>
              </w:rPr>
              <w:t>A CNREN recomendou em 20015 (ver recom</w:t>
            </w:r>
            <w:r>
              <w:rPr>
                <w:sz w:val="22"/>
                <w:szCs w:val="22"/>
              </w:rPr>
              <w:t xml:space="preserve">endação técnica de 28.05.2015) </w:t>
            </w:r>
            <w:r w:rsidR="00A47FE7" w:rsidRPr="00752DBA">
              <w:rPr>
                <w:sz w:val="22"/>
                <w:szCs w:val="22"/>
              </w:rPr>
              <w:t xml:space="preserve">que a «(…)calibração do modelo quantos aos limiares tendo em conta a melhor informação disponível e as conclusões de trabalhos científicos e técnicos recentes e relevantes que apontam para a adoção de limiares de definição das áreas de elevado risco de erosão hídrica do solo abaixo do valor de </w:t>
            </w:r>
            <w:commentRangeStart w:id="13"/>
            <w:r w:rsidR="00A47FE7" w:rsidRPr="00752DBA">
              <w:rPr>
                <w:sz w:val="22"/>
                <w:szCs w:val="22"/>
              </w:rPr>
              <w:t>Pse&gt;=55 ton/ ha.ano</w:t>
            </w:r>
            <w:commentRangeEnd w:id="13"/>
            <w:r w:rsidR="00A47FE7" w:rsidRPr="00752DBA">
              <w:rPr>
                <w:rStyle w:val="Refdecomentrio"/>
                <w:sz w:val="22"/>
                <w:szCs w:val="22"/>
                <w:lang w:eastAsia="en-US"/>
              </w:rPr>
              <w:commentReference w:id="13"/>
            </w:r>
            <w:r w:rsidR="00A47FE7" w:rsidRPr="00752DBA">
              <w:rPr>
                <w:sz w:val="22"/>
                <w:szCs w:val="22"/>
              </w:rPr>
              <w:t>, de forma a conseguir-se uma maior aderência das áreas integradas na REN às características intrínsecas do território, conforme previsto nas OENR».</w:t>
            </w:r>
          </w:p>
          <w:p w:rsidR="00A379F8" w:rsidRPr="00752DBA" w:rsidRDefault="00D26CBF" w:rsidP="00D26CBF">
            <w:pPr>
              <w:spacing w:after="60" w:line="240" w:lineRule="auto"/>
              <w:jc w:val="both"/>
              <w:rPr>
                <w:rFonts w:asciiTheme="minorHAnsi" w:hAnsiTheme="minorHAnsi"/>
                <w:color w:val="984806" w:themeColor="accent6" w:themeShade="80"/>
                <w:sz w:val="22"/>
                <w:szCs w:val="22"/>
              </w:rPr>
            </w:pPr>
            <w:r>
              <w:rPr>
                <w:rFonts w:asciiTheme="minorHAnsi" w:hAnsiTheme="minorHAnsi"/>
                <w:color w:val="984806" w:themeColor="accent6" w:themeShade="80"/>
                <w:sz w:val="22"/>
                <w:szCs w:val="22"/>
              </w:rPr>
              <w:t xml:space="preserve">1 - </w:t>
            </w:r>
            <w:r w:rsidR="007706C5" w:rsidRPr="00752DBA">
              <w:rPr>
                <w:rFonts w:asciiTheme="minorHAnsi" w:hAnsiTheme="minorHAnsi"/>
                <w:color w:val="984806" w:themeColor="accent6" w:themeShade="80"/>
                <w:sz w:val="22"/>
                <w:szCs w:val="22"/>
              </w:rPr>
              <w:t>Os exercícios regionalizados produzidos pelas CCDR, designadamente o trabalho da CCDRLVT disponibilizado no Guia metodológico para a delimitação da Reserva Ecológica Nacional em Lisboa e Vale do Tejo, (Versão de Trabalho), datado de abril de 2015 e atualmente em consulta de entidades, que aponta para a integração na REN das “áreas com maior ou igual a 25 ton/ha.ano, bem como as que apresentem valores inferiores mas sejam necessárias à estabilidade e compacidade das anteriores”;</w:t>
            </w:r>
          </w:p>
          <w:p w:rsidR="00B24C13" w:rsidRPr="00752DBA" w:rsidRDefault="00B24C13" w:rsidP="00D26CBF">
            <w:pPr>
              <w:spacing w:after="60" w:line="240" w:lineRule="auto"/>
              <w:jc w:val="both"/>
              <w:rPr>
                <w:rFonts w:asciiTheme="minorHAnsi" w:hAnsiTheme="minorHAnsi"/>
                <w:color w:val="984806" w:themeColor="accent6" w:themeShade="80"/>
                <w:sz w:val="22"/>
                <w:szCs w:val="22"/>
              </w:rPr>
            </w:pPr>
          </w:p>
          <w:p w:rsidR="00B24C13" w:rsidRPr="00752DBA" w:rsidRDefault="00D26CBF" w:rsidP="00D26CBF">
            <w:pPr>
              <w:spacing w:after="60" w:line="240" w:lineRule="auto"/>
              <w:jc w:val="both"/>
              <w:rPr>
                <w:sz w:val="22"/>
                <w:szCs w:val="22"/>
                <w:highlight w:val="yellow"/>
              </w:rPr>
            </w:pPr>
            <w:r>
              <w:rPr>
                <w:rFonts w:asciiTheme="minorHAnsi" w:hAnsiTheme="minorHAnsi"/>
                <w:color w:val="984806" w:themeColor="accent6" w:themeShade="80"/>
                <w:sz w:val="22"/>
                <w:szCs w:val="22"/>
              </w:rPr>
              <w:t xml:space="preserve">1 - </w:t>
            </w:r>
            <w:r w:rsidR="00B24C13" w:rsidRPr="00752DBA">
              <w:rPr>
                <w:rFonts w:asciiTheme="minorHAnsi" w:hAnsiTheme="minorHAnsi"/>
                <w:color w:val="984806" w:themeColor="accent6" w:themeShade="80"/>
                <w:sz w:val="22"/>
                <w:szCs w:val="22"/>
              </w:rPr>
              <w:t xml:space="preserve">Os limites para o Pse devem ser ponderados tendo em conta o conhecimento empírico e científico existente sobre as características dos territórios que estão a ser avaliados (GM CCDR LVT) </w:t>
            </w:r>
          </w:p>
        </w:tc>
      </w:tr>
    </w:tbl>
    <w:p w:rsidR="00ED3C9B" w:rsidRDefault="00ED3C9B" w:rsidP="00D36B8E">
      <w:pPr>
        <w:ind w:left="-426" w:firstLine="1134"/>
        <w:rPr>
          <w:i/>
        </w:rPr>
      </w:pPr>
    </w:p>
    <w:p w:rsidR="00ED3C9B" w:rsidRDefault="00ED3C9B" w:rsidP="00D36B8E">
      <w:pPr>
        <w:ind w:left="-426" w:firstLine="1134"/>
        <w:rPr>
          <w:i/>
        </w:rPr>
      </w:pPr>
    </w:p>
    <w:p w:rsidR="00022551" w:rsidRDefault="00022551" w:rsidP="00ED3C9B">
      <w:pPr>
        <w:ind w:left="-426" w:firstLine="1134"/>
        <w:rPr>
          <w:i/>
        </w:rPr>
      </w:pPr>
    </w:p>
    <w:p w:rsidR="00022551" w:rsidRDefault="00022551" w:rsidP="00ED3C9B">
      <w:pPr>
        <w:ind w:left="-426" w:firstLine="1134"/>
        <w:rPr>
          <w:i/>
        </w:rPr>
      </w:pPr>
    </w:p>
    <w:p w:rsidR="00022551" w:rsidRDefault="00022551" w:rsidP="00ED3C9B">
      <w:pPr>
        <w:ind w:left="-426" w:firstLine="1134"/>
        <w:rPr>
          <w:i/>
        </w:rPr>
      </w:pPr>
    </w:p>
    <w:p w:rsidR="00022551" w:rsidRDefault="00022551" w:rsidP="00ED3C9B">
      <w:pPr>
        <w:ind w:left="-426" w:firstLine="1134"/>
        <w:rPr>
          <w:i/>
        </w:rPr>
      </w:pPr>
    </w:p>
    <w:p w:rsidR="00EB66C6" w:rsidRDefault="00EB66C6" w:rsidP="00D0291D">
      <w:pPr>
        <w:rPr>
          <w:i/>
        </w:rPr>
      </w:pPr>
    </w:p>
    <w:p w:rsidR="00EB66C6" w:rsidRDefault="00EB66C6" w:rsidP="00D0291D">
      <w:pPr>
        <w:rPr>
          <w:i/>
        </w:rPr>
      </w:pPr>
    </w:p>
    <w:p w:rsidR="00A379F8" w:rsidRDefault="00A379F8" w:rsidP="00A47FE7">
      <w:pPr>
        <w:jc w:val="both"/>
        <w:rPr>
          <w:b/>
        </w:rPr>
      </w:pPr>
    </w:p>
    <w:p w:rsidR="00A379F8" w:rsidRDefault="00A379F8" w:rsidP="00A47FE7">
      <w:pPr>
        <w:jc w:val="both"/>
        <w:rPr>
          <w:b/>
        </w:rPr>
      </w:pPr>
    </w:p>
    <w:p w:rsidR="00A379F8" w:rsidRDefault="00A379F8" w:rsidP="00A47FE7">
      <w:pPr>
        <w:jc w:val="both"/>
        <w:rPr>
          <w:b/>
        </w:rPr>
      </w:pPr>
    </w:p>
    <w:p w:rsidR="00A379F8" w:rsidRDefault="00A379F8" w:rsidP="00A47FE7">
      <w:pPr>
        <w:jc w:val="both"/>
        <w:rPr>
          <w:b/>
        </w:rPr>
      </w:pPr>
    </w:p>
    <w:p w:rsidR="007706C5" w:rsidRDefault="007706C5" w:rsidP="00A47FE7">
      <w:pPr>
        <w:jc w:val="both"/>
        <w:rPr>
          <w:b/>
        </w:rPr>
      </w:pPr>
    </w:p>
    <w:p w:rsidR="00B24C13" w:rsidRDefault="00B24C13" w:rsidP="00A47FE7">
      <w:pPr>
        <w:jc w:val="both"/>
        <w:rPr>
          <w:b/>
        </w:rPr>
      </w:pPr>
    </w:p>
    <w:p w:rsidR="00B24C13" w:rsidRDefault="00B24C13" w:rsidP="00A47FE7">
      <w:pPr>
        <w:jc w:val="both"/>
        <w:rPr>
          <w:b/>
        </w:rPr>
      </w:pPr>
    </w:p>
    <w:p w:rsidR="00B24C13" w:rsidRDefault="00B24C13" w:rsidP="00A47FE7">
      <w:pPr>
        <w:jc w:val="both"/>
        <w:rPr>
          <w:b/>
        </w:rPr>
      </w:pPr>
    </w:p>
    <w:p w:rsidR="00B24C13" w:rsidRDefault="00B24C13" w:rsidP="00A47FE7">
      <w:pPr>
        <w:jc w:val="both"/>
        <w:rPr>
          <w:b/>
        </w:rPr>
      </w:pPr>
    </w:p>
    <w:p w:rsidR="00A47FE7" w:rsidRPr="00A47FE7" w:rsidRDefault="00A47FE7" w:rsidP="00A47FE7">
      <w:pPr>
        <w:jc w:val="both"/>
        <w:rPr>
          <w:b/>
        </w:rPr>
      </w:pPr>
      <w:r w:rsidRPr="00A47FE7">
        <w:rPr>
          <w:b/>
        </w:rPr>
        <w:t>Problemas Globais</w:t>
      </w:r>
    </w:p>
    <w:p w:rsidR="007317C1" w:rsidRPr="00A47FE7" w:rsidRDefault="001E5B82" w:rsidP="00A47FE7">
      <w:pPr>
        <w:jc w:val="both"/>
      </w:pPr>
      <w:r>
        <w:lastRenderedPageBreak/>
        <w:t xml:space="preserve"> 1 - </w:t>
      </w:r>
      <w:r w:rsidR="00A47FE7">
        <w:t xml:space="preserve">Há uma omissão na legislação relativamente às unidades, o que dificulta a aplicação da fórmula. </w:t>
      </w:r>
      <w:commentRangeStart w:id="14"/>
      <w:r w:rsidR="00A47FE7">
        <w:t xml:space="preserve">Com que unidades se quer trabalhar, face aos elementos disponíveis? É com o Sistema Internacional? </w:t>
      </w:r>
      <w:commentRangeEnd w:id="14"/>
      <w:r w:rsidR="00A47FE7">
        <w:rPr>
          <w:rStyle w:val="Refdecomentrio"/>
        </w:rPr>
        <w:commentReference w:id="14"/>
      </w:r>
      <w:r w:rsidR="00A47FE7">
        <w:t xml:space="preserve">. </w:t>
      </w:r>
    </w:p>
    <w:p w:rsidR="001E5B82" w:rsidRDefault="001E5B82" w:rsidP="007706C5">
      <w:pPr>
        <w:jc w:val="both"/>
        <w:rPr>
          <w:b/>
        </w:rPr>
      </w:pPr>
      <w:r>
        <w:rPr>
          <w:rFonts w:asciiTheme="minorHAnsi" w:hAnsiTheme="minorHAnsi"/>
          <w:color w:val="984806" w:themeColor="accent6" w:themeShade="80"/>
          <w:sz w:val="20"/>
          <w:szCs w:val="20"/>
        </w:rPr>
        <w:t xml:space="preserve">2 - </w:t>
      </w:r>
      <w:r w:rsidRPr="001E5B82">
        <w:rPr>
          <w:rFonts w:asciiTheme="minorHAnsi" w:hAnsiTheme="minorHAnsi"/>
          <w:color w:val="984806" w:themeColor="accent6" w:themeShade="80"/>
          <w:sz w:val="20"/>
          <w:szCs w:val="20"/>
        </w:rPr>
        <w:t>Não são estabelecidos critérios de generalização que garantam a coerência da delimitação das AEREHS</w:t>
      </w:r>
      <w:r w:rsidRPr="008B5227">
        <w:rPr>
          <w:rFonts w:asciiTheme="minorHAnsi" w:hAnsiTheme="minorHAnsi"/>
          <w:color w:val="632423" w:themeColor="accent2" w:themeShade="80"/>
          <w:sz w:val="20"/>
          <w:szCs w:val="20"/>
        </w:rPr>
        <w:t>.</w:t>
      </w:r>
    </w:p>
    <w:p w:rsidR="007317C1" w:rsidRDefault="007706C5" w:rsidP="007706C5">
      <w:pPr>
        <w:jc w:val="both"/>
        <w:rPr>
          <w:b/>
        </w:rPr>
      </w:pPr>
      <w:r w:rsidRPr="007706C5">
        <w:rPr>
          <w:b/>
        </w:rPr>
        <w:t>Soluções Globais</w:t>
      </w:r>
    </w:p>
    <w:p w:rsidR="001E5B82" w:rsidRDefault="001E5B82" w:rsidP="007706C5">
      <w:pPr>
        <w:jc w:val="both"/>
        <w:rPr>
          <w:rFonts w:asciiTheme="minorHAnsi" w:hAnsiTheme="minorHAnsi"/>
          <w:color w:val="984806" w:themeColor="accent6" w:themeShade="80"/>
          <w:sz w:val="20"/>
          <w:szCs w:val="20"/>
        </w:rPr>
      </w:pPr>
      <w:r>
        <w:rPr>
          <w:rFonts w:asciiTheme="minorHAnsi" w:hAnsiTheme="minorHAnsi"/>
          <w:color w:val="984806" w:themeColor="accent6" w:themeShade="80"/>
          <w:sz w:val="20"/>
          <w:szCs w:val="20"/>
        </w:rPr>
        <w:t>2</w:t>
      </w:r>
      <w:r w:rsidRPr="001E5B82">
        <w:rPr>
          <w:rFonts w:asciiTheme="minorHAnsi" w:hAnsiTheme="minorHAnsi"/>
          <w:color w:val="984806" w:themeColor="accent6" w:themeShade="80"/>
          <w:sz w:val="20"/>
          <w:szCs w:val="20"/>
        </w:rPr>
        <w:t xml:space="preserve"> - As manchas resultantes da aplicação da metodologia devem ser aferidas e adoçadas ao terreno não se aceitando delimitações agarradas ao pixel. Neste processo, os vazios localizados no interior de encostas com AEREHS devem ser integrados na REN e, na mesma ordem de ideias, deve ser ponderada a não integração de manchas isoladas com dimensão inferiora 1ha, exceto quando, em resultado da sua proximidade, tenham em conjunto uma dimensão superior. (GM CCDR LVT)</w:t>
      </w:r>
    </w:p>
    <w:p w:rsidR="001E5B82" w:rsidRDefault="001E5B82" w:rsidP="001E5B82">
      <w:pPr>
        <w:jc w:val="both"/>
        <w:rPr>
          <w:rFonts w:asciiTheme="minorHAnsi" w:hAnsiTheme="minorHAnsi"/>
          <w:color w:val="984806" w:themeColor="accent6" w:themeShade="80"/>
          <w:sz w:val="20"/>
          <w:szCs w:val="20"/>
        </w:rPr>
      </w:pPr>
      <w:r w:rsidRPr="00977C36">
        <w:rPr>
          <w:rFonts w:asciiTheme="minorHAnsi" w:hAnsiTheme="minorHAnsi"/>
          <w:color w:val="984806" w:themeColor="accent6" w:themeShade="80"/>
          <w:sz w:val="20"/>
          <w:szCs w:val="20"/>
        </w:rPr>
        <w:t>Os recentes trabalhos do Joint Research Center (JRC), da Comissão Europeia, que têm vindo a publicar os resultados do projecto de investigação aplicada sobre os vários parâmetros da EUPS (R1, K2, LS3 e P4), disponibilizando dados de base e informação georreferenciada com elevada resolução, que permitem suportar a construção e/ou validação de modelos de cálculo e de identificação das áreas de elevado risco de erosão hídrica do solo, aplicados a territórios específicos em toda a UE.</w:t>
      </w:r>
    </w:p>
    <w:p w:rsidR="001E5B82" w:rsidRPr="001E5B82" w:rsidRDefault="001E5B82" w:rsidP="007706C5">
      <w:pPr>
        <w:jc w:val="both"/>
        <w:rPr>
          <w:rFonts w:asciiTheme="minorHAnsi" w:hAnsiTheme="minorHAnsi"/>
          <w:color w:val="984806" w:themeColor="accent6" w:themeShade="80"/>
          <w:sz w:val="20"/>
          <w:szCs w:val="20"/>
        </w:rPr>
      </w:pPr>
    </w:p>
    <w:p w:rsidR="00166749" w:rsidRDefault="00D36B8E" w:rsidP="00D0291D">
      <w:pPr>
        <w:rPr>
          <w:b/>
          <w:bCs/>
        </w:rPr>
      </w:pPr>
      <w:r w:rsidRPr="007872F9">
        <w:rPr>
          <w:i/>
        </w:rPr>
        <w:t xml:space="preserve">Pse= </w:t>
      </w:r>
      <w:r w:rsidR="00ED3C9B" w:rsidRPr="007872F9">
        <w:rPr>
          <w:i/>
        </w:rPr>
        <w:t>SDR X A</w:t>
      </w:r>
      <w:r w:rsidR="00ED3C9B">
        <w:t>, em que A = f(</w:t>
      </w:r>
      <w:r w:rsidR="00ED3C9B" w:rsidRPr="007872F9">
        <w:rPr>
          <w:b/>
          <w:bCs/>
        </w:rPr>
        <w:t>R K L S C P</w:t>
      </w:r>
      <w:r w:rsidR="00ED3C9B">
        <w:rPr>
          <w:b/>
          <w:bCs/>
        </w:rPr>
        <w:t>)</w:t>
      </w:r>
    </w:p>
    <w:p w:rsidR="00BC48DD" w:rsidRDefault="00BC48DD" w:rsidP="00D0291D">
      <w:r w:rsidRPr="00BC48DD">
        <w:rPr>
          <w:bCs/>
        </w:rPr>
        <w:t>*</w:t>
      </w:r>
      <w:r w:rsidRPr="00BC48DD">
        <w:t xml:space="preserve"> </w:t>
      </w:r>
      <w:r>
        <w:t xml:space="preserve">Importa igualmente ter em atenção que os </w:t>
      </w:r>
      <w:r w:rsidRPr="000D3A43">
        <w:t xml:space="preserve">Sistema </w:t>
      </w:r>
      <w:r w:rsidRPr="000D3A43">
        <w:rPr>
          <w:b/>
          <w:bCs/>
        </w:rPr>
        <w:t>I</w:t>
      </w:r>
      <w:r w:rsidR="00BF6A00">
        <w:t xml:space="preserve">nglês, também conhecido por </w:t>
      </w:r>
      <w:r w:rsidRPr="000D3A43">
        <w:rPr>
          <w:b/>
          <w:bCs/>
        </w:rPr>
        <w:t>S</w:t>
      </w:r>
      <w:r w:rsidRPr="000D3A43">
        <w:t xml:space="preserve">istema </w:t>
      </w:r>
      <w:r w:rsidRPr="000D3A43">
        <w:rPr>
          <w:b/>
          <w:bCs/>
        </w:rPr>
        <w:t>I</w:t>
      </w:r>
      <w:r w:rsidRPr="000D3A43">
        <w:t xml:space="preserve">mperial </w:t>
      </w:r>
      <w:r>
        <w:t>têm a mesma sigla que o Sistema Internacional, o que pode originar confusão sobre o sistema que se está a utilizar.</w:t>
      </w:r>
    </w:p>
    <w:p w:rsidR="00A55E8B" w:rsidRDefault="00A55E8B" w:rsidP="00D0291D"/>
    <w:p w:rsidR="00A55E8B" w:rsidRDefault="00A55E8B" w:rsidP="00D0291D"/>
    <w:p w:rsidR="00E35DF4" w:rsidRDefault="00E35DF4" w:rsidP="00D0291D">
      <w:pPr>
        <w:rPr>
          <w:rFonts w:asciiTheme="minorHAnsi" w:hAnsiTheme="minorHAnsi"/>
          <w:color w:val="5F497A" w:themeColor="accent4" w:themeShade="BF"/>
          <w:sz w:val="20"/>
          <w:szCs w:val="20"/>
        </w:rPr>
      </w:pPr>
    </w:p>
    <w:p w:rsidR="00E35DF4" w:rsidRPr="00ED3C9B" w:rsidRDefault="00E35DF4" w:rsidP="00D0291D">
      <w:pPr>
        <w:rPr>
          <w:b/>
          <w:bCs/>
        </w:rPr>
      </w:pPr>
    </w:p>
    <w:sectPr w:rsidR="00E35DF4" w:rsidRPr="00ED3C9B" w:rsidSect="0091279F">
      <w:headerReference w:type="default" r:id="rId11"/>
      <w:footerReference w:type="default" r:id="rId12"/>
      <w:pgSz w:w="16838" w:h="11906" w:orient="landscape" w:code="9"/>
      <w:pgMar w:top="1701" w:right="1418" w:bottom="1701"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ta Afonso" w:date="2016-06-03T16:17:00Z" w:initials="MA">
    <w:p w:rsidR="00E35DF4" w:rsidRDefault="00E35DF4">
      <w:pPr>
        <w:pStyle w:val="Textodecomentrio"/>
      </w:pPr>
      <w:r>
        <w:rPr>
          <w:rStyle w:val="Refdecomentrio"/>
        </w:rPr>
        <w:annotationRef/>
      </w:r>
      <w:r>
        <w:t>Validar se a afirmação é verdadeira</w:t>
      </w:r>
    </w:p>
  </w:comment>
  <w:comment w:id="1" w:author="Marta Afonso" w:date="2016-06-03T16:20:00Z" w:initials="MA">
    <w:p w:rsidR="00E35DF4" w:rsidRDefault="00E35DF4" w:rsidP="00752DBA">
      <w:pPr>
        <w:pStyle w:val="Textodecomentrio"/>
      </w:pPr>
      <w:r>
        <w:rPr>
          <w:rStyle w:val="Refdecomentrio"/>
        </w:rPr>
        <w:annotationRef/>
      </w:r>
      <w:r>
        <w:t xml:space="preserve">Esclarecer melhor a ideia. Está associado à ideia do parágrafo anterior? </w:t>
      </w:r>
    </w:p>
  </w:comment>
  <w:comment w:id="2" w:author="Marta Afonso" w:date="2016-06-03T16:02:00Z" w:initials="MA">
    <w:p w:rsidR="00E35DF4" w:rsidRDefault="00E35DF4">
      <w:pPr>
        <w:pStyle w:val="Textodecomentrio"/>
      </w:pPr>
      <w:r>
        <w:rPr>
          <w:rStyle w:val="Refdecomentrio"/>
        </w:rPr>
        <w:annotationRef/>
      </w:r>
      <w:r>
        <w:t>Rever a redação para esclarecer melhores este ponto</w:t>
      </w:r>
    </w:p>
  </w:comment>
  <w:comment w:id="3" w:author="Marta Afonso" w:date="2016-06-03T15:35:00Z" w:initials="MA">
    <w:p w:rsidR="00E35DF4" w:rsidRDefault="00E35DF4">
      <w:pPr>
        <w:pStyle w:val="Textodecomentrio"/>
      </w:pPr>
      <w:r>
        <w:rPr>
          <w:rStyle w:val="Refdecomentrio"/>
        </w:rPr>
        <w:annotationRef/>
      </w:r>
      <w:r>
        <w:t>?</w:t>
      </w:r>
    </w:p>
  </w:comment>
  <w:comment w:id="4" w:author="Marta Afonso" w:date="2016-06-03T16:24:00Z" w:initials="MA">
    <w:p w:rsidR="00E35DF4" w:rsidRDefault="00E35DF4">
      <w:pPr>
        <w:pStyle w:val="Textodecomentrio"/>
      </w:pPr>
      <w:r>
        <w:rPr>
          <w:rStyle w:val="Refdecomentrio"/>
        </w:rPr>
        <w:annotationRef/>
      </w:r>
      <w:r w:rsidRPr="00752DBA">
        <w:rPr>
          <w:sz w:val="22"/>
          <w:szCs w:val="22"/>
        </w:rPr>
        <w:t xml:space="preserve">Há outra fonte de informação que possa ser utilizada nesta situação e que permita suprir este problema? </w:t>
      </w:r>
      <w:r>
        <w:rPr>
          <w:sz w:val="22"/>
          <w:szCs w:val="22"/>
        </w:rPr>
        <w:t>Se sim identificá-la</w:t>
      </w:r>
    </w:p>
  </w:comment>
  <w:comment w:id="5" w:author="Marta Afonso" w:date="2016-06-03T15:35:00Z" w:initials="MA">
    <w:p w:rsidR="00E35DF4" w:rsidRDefault="00E35DF4">
      <w:pPr>
        <w:pStyle w:val="Textodecomentrio"/>
      </w:pPr>
      <w:r>
        <w:rPr>
          <w:rStyle w:val="Refdecomentrio"/>
        </w:rPr>
        <w:annotationRef/>
      </w:r>
      <w:r>
        <w:t>Por exemplo …</w:t>
      </w:r>
    </w:p>
  </w:comment>
  <w:comment w:id="6" w:author="Marta Afonso" w:date="2016-06-03T16:28:00Z" w:initials="MA">
    <w:p w:rsidR="00E35DF4" w:rsidRPr="00752DBA" w:rsidRDefault="00E35DF4" w:rsidP="00E35DF4">
      <w:r>
        <w:rPr>
          <w:rStyle w:val="Refdecomentrio"/>
        </w:rPr>
        <w:annotationRef/>
      </w:r>
      <w:r w:rsidRPr="00752DBA">
        <w:t>A DGADR ficou de enviar a lista com as cartas 1:25000</w:t>
      </w:r>
    </w:p>
    <w:p w:rsidR="00E35DF4" w:rsidRDefault="00E35DF4">
      <w:pPr>
        <w:pStyle w:val="Textodecomentrio"/>
      </w:pPr>
    </w:p>
  </w:comment>
  <w:comment w:id="7" w:author="Marta Afonso" w:date="2016-06-06T14:11:00Z" w:initials="MA">
    <w:p w:rsidR="00E35DF4" w:rsidRDefault="00E35DF4">
      <w:pPr>
        <w:pStyle w:val="Textodecomentrio"/>
      </w:pPr>
      <w:r>
        <w:rPr>
          <w:rStyle w:val="Refdecomentrio"/>
        </w:rPr>
        <w:annotationRef/>
      </w:r>
      <w:r>
        <w:t>Este SI é o Sistema Internacional,</w:t>
      </w:r>
      <w:r w:rsidR="00DD0DF6">
        <w:t xml:space="preserve"> se não o for, de que</w:t>
      </w:r>
      <w:r>
        <w:t xml:space="preserve"> sistema </w:t>
      </w:r>
      <w:r w:rsidR="00DD0DF6">
        <w:t>se trata</w:t>
      </w:r>
      <w:r>
        <w:t xml:space="preserve">? </w:t>
      </w:r>
    </w:p>
    <w:p w:rsidR="00E35DF4" w:rsidRDefault="00E35DF4">
      <w:pPr>
        <w:pStyle w:val="Textodecomentrio"/>
      </w:pPr>
      <w:r>
        <w:t xml:space="preserve">O parecer da APA à proposta de Alcoutim datado de 17/09/2014 diz que o valor de K na primeira coluna do quadro </w:t>
      </w:r>
      <w:proofErr w:type="gramStart"/>
      <w:r>
        <w:t>anexo</w:t>
      </w:r>
      <w:proofErr w:type="gramEnd"/>
      <w:r>
        <w:t xml:space="preserve"> ao artigo de Pimenta (1999), pg. 10-12 </w:t>
      </w:r>
      <w:proofErr w:type="gramStart"/>
      <w:r>
        <w:t>é</w:t>
      </w:r>
      <w:proofErr w:type="gramEnd"/>
      <w:r>
        <w:t xml:space="preserve"> expresso nas unidades </w:t>
      </w:r>
      <w:proofErr w:type="spellStart"/>
      <w:r>
        <w:t>t.h</w:t>
      </w:r>
      <w:proofErr w:type="spellEnd"/>
      <w:r>
        <w:t>/</w:t>
      </w:r>
      <w:r w:rsidRPr="00E7397A">
        <w:t xml:space="preserve"> </w:t>
      </w:r>
      <w:r>
        <w:t>MJ/mm/</w:t>
      </w:r>
      <w:proofErr w:type="spellStart"/>
      <w:r>
        <w:t>ha</w:t>
      </w:r>
      <w:proofErr w:type="spellEnd"/>
      <w:r>
        <w:t>/anos</w:t>
      </w:r>
    </w:p>
    <w:p w:rsidR="00E35DF4" w:rsidRDefault="00E35DF4">
      <w:pPr>
        <w:pStyle w:val="Textodecomentrio"/>
      </w:pPr>
      <w:r>
        <w:t>É de notar que os quadro 4 página 8 e quadro anexo (</w:t>
      </w:r>
      <w:proofErr w:type="spellStart"/>
      <w:r>
        <w:t>pg</w:t>
      </w:r>
      <w:proofErr w:type="spellEnd"/>
      <w:r>
        <w:t xml:space="preserve"> 10) </w:t>
      </w:r>
      <w:proofErr w:type="gramStart"/>
      <w:r>
        <w:t>têm</w:t>
      </w:r>
      <w:proofErr w:type="gramEnd"/>
      <w:r>
        <w:t xml:space="preserve"> valores diferentes para K. </w:t>
      </w:r>
    </w:p>
  </w:comment>
  <w:comment w:id="8" w:author="Marta Afonso" w:date="2016-06-03T15:33:00Z" w:initials="MA">
    <w:p w:rsidR="00E35DF4" w:rsidRDefault="00E35DF4" w:rsidP="008A7E51">
      <w:pPr>
        <w:pStyle w:val="Textodecomentrio"/>
      </w:pPr>
      <w:r>
        <w:rPr>
          <w:rStyle w:val="Refdecomentrio"/>
        </w:rPr>
        <w:annotationRef/>
      </w:r>
      <w:r>
        <w:t>(Completar Eng.º Lúcio). Onde encontrar, a que escala?</w:t>
      </w:r>
    </w:p>
    <w:p w:rsidR="00E35DF4" w:rsidRDefault="00E35DF4" w:rsidP="008A7E51">
      <w:pPr>
        <w:pStyle w:val="Textodecomentrio"/>
      </w:pPr>
      <w:r w:rsidRPr="00BC48DD">
        <w:t xml:space="preserve"> </w:t>
      </w:r>
      <w:r>
        <w:t>Há que assegurar a questão da correspondência da classificação de solos das cartas propostas e as da S.R.O.A. e as da Comissão Europeia, com vista a obter o valor da erodibilidade, ou propor solução alternativa, ou é a mesma classificação?</w:t>
      </w:r>
    </w:p>
  </w:comment>
  <w:comment w:id="9" w:author="Marta Afonso" w:date="2016-06-03T16:37:00Z" w:initials="MA">
    <w:p w:rsidR="00E35DF4" w:rsidRDefault="00E35DF4" w:rsidP="00E35DF4">
      <w:pPr>
        <w:pStyle w:val="Textodecomentrio"/>
      </w:pPr>
      <w:r>
        <w:rPr>
          <w:rStyle w:val="Refdecomentrio"/>
        </w:rPr>
        <w:annotationRef/>
      </w:r>
      <w:r>
        <w:t xml:space="preserve">Completar </w:t>
      </w:r>
      <w:r w:rsidR="00A55E8B">
        <w:t>a</w:t>
      </w:r>
    </w:p>
    <w:p w:rsidR="00E35DF4" w:rsidRDefault="00A55E8B" w:rsidP="00E35DF4">
      <w:pPr>
        <w:pStyle w:val="Textodecomentrio"/>
      </w:pPr>
      <w:r>
        <w:t>Ideia</w:t>
      </w:r>
      <w:r w:rsidR="00E35DF4">
        <w:t xml:space="preserve"> constante do documento “Avaliação dos critérios de delimitação da REN”</w:t>
      </w:r>
    </w:p>
  </w:comment>
  <w:comment w:id="10" w:author="Marta Afonso" w:date="2016-06-03T15:05:00Z" w:initials="MA">
    <w:p w:rsidR="00E35DF4" w:rsidRDefault="00E35DF4">
      <w:pPr>
        <w:pStyle w:val="Textodecomentrio"/>
      </w:pPr>
      <w:r>
        <w:rPr>
          <w:rStyle w:val="Refdecomentrio"/>
        </w:rPr>
        <w:annotationRef/>
      </w:r>
      <w:r>
        <w:t>Esclarecer melhor (Eng.º Lúcio)</w:t>
      </w:r>
    </w:p>
  </w:comment>
  <w:comment w:id="11" w:author="Marta Afonso" w:date="2016-06-03T11:59:00Z" w:initials="MA">
    <w:p w:rsidR="00E35DF4" w:rsidRDefault="00E35DF4">
      <w:pPr>
        <w:pStyle w:val="Textodecomentrio"/>
      </w:pPr>
      <w:r>
        <w:rPr>
          <w:rStyle w:val="Refdecomentrio"/>
        </w:rPr>
        <w:annotationRef/>
      </w:r>
      <w:r>
        <w:t xml:space="preserve">Esclarecer melhor </w:t>
      </w:r>
    </w:p>
  </w:comment>
  <w:comment w:id="12" w:author="Marta Afonso" w:date="2016-06-06T14:15:00Z" w:initials="MA">
    <w:p w:rsidR="00DD0DF6" w:rsidRDefault="00DD0DF6" w:rsidP="00DD0DF6">
      <w:pPr>
        <w:pStyle w:val="Textodecomentrio"/>
      </w:pPr>
      <w:r>
        <w:rPr>
          <w:rStyle w:val="Refdecomentrio"/>
        </w:rPr>
        <w:annotationRef/>
      </w:r>
      <w:r>
        <w:t xml:space="preserve">Trata-se de passar para o sistema internacional? </w:t>
      </w:r>
    </w:p>
    <w:p w:rsidR="00DD0DF6" w:rsidRDefault="00DD0DF6" w:rsidP="00DD0DF6">
      <w:pPr>
        <w:pStyle w:val="Textodecomentrio"/>
      </w:pPr>
      <w:r>
        <w:t>Qual é o objetivo desta crítica?</w:t>
      </w:r>
    </w:p>
  </w:comment>
  <w:comment w:id="13" w:author="Marta Afonso" w:date="2016-06-03T15:17:00Z" w:initials="MA">
    <w:p w:rsidR="00E35DF4" w:rsidRDefault="00E35DF4" w:rsidP="00A47FE7">
      <w:pPr>
        <w:pStyle w:val="Textodecomentrio"/>
      </w:pPr>
      <w:r>
        <w:rPr>
          <w:rStyle w:val="Refdecomentrio"/>
        </w:rPr>
        <w:annotationRef/>
      </w:r>
      <w:r>
        <w:t xml:space="preserve">Há algum caso em que o valor de 55 seja razoável? </w:t>
      </w:r>
    </w:p>
    <w:p w:rsidR="00E35DF4" w:rsidRDefault="00E35DF4" w:rsidP="00A47FE7">
      <w:pPr>
        <w:pStyle w:val="Textodecomentrio"/>
      </w:pPr>
      <w:r>
        <w:t xml:space="preserve">Importa proteger o recurso solo e não sítios onde já não há solo. </w:t>
      </w:r>
    </w:p>
  </w:comment>
  <w:comment w:id="14" w:author="Marta Afonso" w:date="2016-06-03T16:08:00Z" w:initials="MA">
    <w:tbl>
      <w:tblPr>
        <w:tblStyle w:val="Tabelacomgrelha"/>
        <w:tblW w:w="0" w:type="auto"/>
        <w:tblLook w:val="04A0"/>
      </w:tblPr>
      <w:tblGrid>
        <w:gridCol w:w="4430"/>
        <w:gridCol w:w="4431"/>
        <w:gridCol w:w="4431"/>
      </w:tblGrid>
      <w:tr w:rsidR="00E35DF4" w:rsidTr="00E35DF4">
        <w:trPr>
          <w:tblHeader/>
        </w:trPr>
        <w:tc>
          <w:tcPr>
            <w:tcW w:w="4430" w:type="dxa"/>
          </w:tcPr>
          <w:p w:rsidR="00E35DF4" w:rsidRPr="00526A04" w:rsidRDefault="00E35DF4" w:rsidP="00E35DF4">
            <w:pPr>
              <w:jc w:val="center"/>
              <w:rPr>
                <w:b/>
              </w:rPr>
            </w:pPr>
            <w:r w:rsidRPr="00526A04">
              <w:rPr>
                <w:b/>
              </w:rPr>
              <w:t>Parâmetros constantes da fórmula</w:t>
            </w:r>
          </w:p>
        </w:tc>
        <w:tc>
          <w:tcPr>
            <w:tcW w:w="4431" w:type="dxa"/>
          </w:tcPr>
          <w:p w:rsidR="00E35DF4" w:rsidRPr="00526A04" w:rsidRDefault="00E35DF4" w:rsidP="00E35DF4">
            <w:pPr>
              <w:jc w:val="center"/>
              <w:rPr>
                <w:b/>
              </w:rPr>
            </w:pPr>
            <w:r w:rsidRPr="00526A04">
              <w:rPr>
                <w:b/>
              </w:rPr>
              <w:t>Problemas detetados</w:t>
            </w:r>
          </w:p>
        </w:tc>
        <w:tc>
          <w:tcPr>
            <w:tcW w:w="4431" w:type="dxa"/>
          </w:tcPr>
          <w:p w:rsidR="00E35DF4" w:rsidRPr="00526A04" w:rsidRDefault="00E35DF4" w:rsidP="00E35DF4">
            <w:pPr>
              <w:jc w:val="center"/>
              <w:rPr>
                <w:b/>
              </w:rPr>
            </w:pPr>
            <w:r w:rsidRPr="00526A04">
              <w:rPr>
                <w:b/>
              </w:rPr>
              <w:t xml:space="preserve">Solução Proposta </w:t>
            </w:r>
          </w:p>
        </w:tc>
      </w:tr>
      <w:tr w:rsidR="00E35DF4" w:rsidTr="00E35DF4">
        <w:trPr>
          <w:tblHeader/>
        </w:trPr>
        <w:tc>
          <w:tcPr>
            <w:tcW w:w="4430" w:type="dxa"/>
          </w:tcPr>
          <w:p w:rsidR="00E35DF4" w:rsidRPr="007872F9" w:rsidRDefault="00E35DF4" w:rsidP="00E35DF4">
            <w:pPr>
              <w:rPr>
                <w:b/>
              </w:rPr>
            </w:pPr>
            <w:r w:rsidRPr="007872F9">
              <w:rPr>
                <w:b/>
              </w:rPr>
              <w:t>SDR</w:t>
            </w:r>
            <w:r>
              <w:rPr>
                <w:b/>
              </w:rPr>
              <w:t xml:space="preserve"> – </w:t>
            </w:r>
            <w:r w:rsidRPr="007872F9">
              <w:t xml:space="preserve">razão de </w:t>
            </w:r>
            <w:r>
              <w:t>cedência</w:t>
            </w:r>
            <w:r w:rsidRPr="007872F9">
              <w:t xml:space="preserve"> de sedimentos</w:t>
            </w:r>
          </w:p>
        </w:tc>
        <w:tc>
          <w:tcPr>
            <w:tcW w:w="4431" w:type="dxa"/>
          </w:tcPr>
          <w:p w:rsidR="00E35DF4" w:rsidRDefault="00E35DF4" w:rsidP="00E35DF4">
            <w:pPr>
              <w:jc w:val="both"/>
            </w:pPr>
            <w:r>
              <w:t xml:space="preserve">A utilização deste fator considera que a “recarga” de sedimentos conduz de imediato à formação de solo, assumindo que se há uma parte do solo que se perde, há de imediato solo que se ganha, o que muitas vezes não corresponde à realidade. </w:t>
            </w:r>
          </w:p>
          <w:p w:rsidR="00E35DF4" w:rsidRDefault="00E35DF4" w:rsidP="00E35DF4">
            <w:pPr>
              <w:jc w:val="both"/>
            </w:pPr>
            <w:r>
              <w:t xml:space="preserve">Por outro lado a consideração deste fator induz a que as zonas mais a jusante (que recebem, segundo </w:t>
            </w:r>
            <w:r w:rsidRPr="00D36B8E">
              <w:rPr>
                <w:highlight w:val="yellow"/>
              </w:rPr>
              <w:t xml:space="preserve">este critério, mais sedimentos) sejam menos afetadas pela erosão, o que não corresponde à realidade, pois nestes locais </w:t>
            </w:r>
            <w:r>
              <w:rPr>
                <w:highlight w:val="yellow"/>
              </w:rPr>
              <w:t>a velocidade de escoamento é superior</w:t>
            </w:r>
            <w:r w:rsidRPr="00D36B8E">
              <w:rPr>
                <w:highlight w:val="yellow"/>
              </w:rPr>
              <w:t xml:space="preserve"> e a perda de solo</w:t>
            </w:r>
            <w:r>
              <w:rPr>
                <w:highlight w:val="yellow"/>
              </w:rPr>
              <w:t>s</w:t>
            </w:r>
            <w:r w:rsidRPr="00D36B8E">
              <w:rPr>
                <w:highlight w:val="yellow"/>
              </w:rPr>
              <w:t xml:space="preserve"> </w:t>
            </w:r>
            <w:r>
              <w:rPr>
                <w:highlight w:val="yellow"/>
              </w:rPr>
              <w:t>pode ser inclusivamente</w:t>
            </w:r>
            <w:r w:rsidRPr="00D36B8E">
              <w:rPr>
                <w:highlight w:val="yellow"/>
              </w:rPr>
              <w:t xml:space="preserve"> maior.</w:t>
            </w:r>
            <w:r>
              <w:t xml:space="preserve">  </w:t>
            </w:r>
          </w:p>
          <w:p w:rsidR="00E35DF4" w:rsidRDefault="00E35DF4" w:rsidP="00E35DF4">
            <w:pPr>
              <w:jc w:val="both"/>
            </w:pPr>
            <w:r>
              <w:t xml:space="preserve">A fórmula usada na legislação para o SDR não está adaptada à escala que é utilizada para a delimitação da REN. Por exemplo, quando se obtém valores do SDR forem superiores a 1 está a subverter o significado e neste caso tem que haver uma classificação. </w:t>
            </w:r>
            <w:r>
              <w:rPr>
                <w:rStyle w:val="Refdecomentrio"/>
                <w:lang w:eastAsia="en-US"/>
              </w:rPr>
              <w:annotationRef/>
            </w:r>
          </w:p>
          <w:p w:rsidR="00E35DF4" w:rsidRDefault="00E35DF4" w:rsidP="00E35DF4">
            <w:pPr>
              <w:jc w:val="both"/>
            </w:pPr>
            <w:r w:rsidRPr="008B5227">
              <w:rPr>
                <w:rFonts w:asciiTheme="minorHAnsi" w:hAnsiTheme="minorHAnsi"/>
                <w:color w:val="632423" w:themeColor="accent2" w:themeShade="80"/>
              </w:rPr>
              <w:t>Não é explicado como se encontra o valor da área de drenagem (</w:t>
            </w:r>
            <w:proofErr w:type="spellStart"/>
            <w:r w:rsidRPr="008B5227">
              <w:rPr>
                <w:rFonts w:asciiTheme="minorHAnsi" w:hAnsiTheme="minorHAnsi"/>
                <w:color w:val="632423" w:themeColor="accent2" w:themeShade="80"/>
              </w:rPr>
              <w:t>Ab</w:t>
            </w:r>
            <w:proofErr w:type="spellEnd"/>
            <w:r w:rsidRPr="008B5227">
              <w:rPr>
                <w:rFonts w:asciiTheme="minorHAnsi" w:hAnsiTheme="minorHAnsi"/>
                <w:color w:val="632423" w:themeColor="accent2" w:themeShade="80"/>
              </w:rPr>
              <w:t>), utilizado no cálculo da Razão de Cedência de Sedimentos (SDR).</w:t>
            </w:r>
          </w:p>
        </w:tc>
        <w:tc>
          <w:tcPr>
            <w:tcW w:w="4431" w:type="dxa"/>
          </w:tcPr>
          <w:p w:rsidR="00E35DF4" w:rsidRDefault="00E35DF4" w:rsidP="00E35DF4">
            <w:r w:rsidRPr="008B5227">
              <w:rPr>
                <w:rFonts w:asciiTheme="minorHAnsi" w:hAnsiTheme="minorHAnsi"/>
                <w:color w:val="632423" w:themeColor="accent2" w:themeShade="80"/>
              </w:rPr>
              <w:t xml:space="preserve">O </w:t>
            </w:r>
            <w:proofErr w:type="spellStart"/>
            <w:r w:rsidRPr="008B5227">
              <w:rPr>
                <w:rFonts w:asciiTheme="minorHAnsi" w:hAnsiTheme="minorHAnsi"/>
                <w:color w:val="632423" w:themeColor="accent2" w:themeShade="80"/>
              </w:rPr>
              <w:t>Ab</w:t>
            </w:r>
            <w:proofErr w:type="spellEnd"/>
            <w:r w:rsidRPr="008B5227">
              <w:rPr>
                <w:rFonts w:asciiTheme="minorHAnsi" w:hAnsiTheme="minorHAnsi"/>
                <w:color w:val="632423" w:themeColor="accent2" w:themeShade="80"/>
              </w:rPr>
              <w:t xml:space="preserve"> é calculado a partir do Mapa do Sentido dos Fluxos e corresponde ao valor da área de drenagem, em Km2. A área de drenagem corresponde à bacia do </w:t>
            </w:r>
            <w:proofErr w:type="gramStart"/>
            <w:r w:rsidRPr="008B5227">
              <w:rPr>
                <w:rFonts w:asciiTheme="minorHAnsi" w:hAnsiTheme="minorHAnsi"/>
                <w:color w:val="632423" w:themeColor="accent2" w:themeShade="80"/>
              </w:rPr>
              <w:t>pixel</w:t>
            </w:r>
            <w:proofErr w:type="gramEnd"/>
            <w:r w:rsidRPr="008B5227">
              <w:rPr>
                <w:rFonts w:asciiTheme="minorHAnsi" w:hAnsiTheme="minorHAnsi"/>
                <w:color w:val="632423" w:themeColor="accent2" w:themeShade="80"/>
              </w:rPr>
              <w:t xml:space="preserve">: o seu valor, para cada </w:t>
            </w:r>
            <w:proofErr w:type="gramStart"/>
            <w:r w:rsidRPr="008B5227">
              <w:rPr>
                <w:rFonts w:asciiTheme="minorHAnsi" w:hAnsiTheme="minorHAnsi"/>
                <w:color w:val="632423" w:themeColor="accent2" w:themeShade="80"/>
              </w:rPr>
              <w:t>pixel</w:t>
            </w:r>
            <w:proofErr w:type="gramEnd"/>
            <w:r w:rsidRPr="008B5227">
              <w:rPr>
                <w:rFonts w:asciiTheme="minorHAnsi" w:hAnsiTheme="minorHAnsi"/>
                <w:color w:val="632423" w:themeColor="accent2" w:themeShade="80"/>
              </w:rPr>
              <w:t>, é d</w:t>
            </w:r>
            <w:r>
              <w:rPr>
                <w:rFonts w:asciiTheme="minorHAnsi" w:hAnsiTheme="minorHAnsi"/>
                <w:color w:val="632423" w:themeColor="accent2" w:themeShade="80"/>
              </w:rPr>
              <w:t xml:space="preserve">eterminado pelo produto entre: </w:t>
            </w:r>
            <w:r w:rsidRPr="008B5227">
              <w:rPr>
                <w:rFonts w:asciiTheme="minorHAnsi" w:hAnsiTheme="minorHAnsi"/>
                <w:color w:val="632423" w:themeColor="accent2" w:themeShade="80"/>
              </w:rPr>
              <w:t xml:space="preserve">o número de pixéis / células acumulado, desde o setor mais a montante que drenam para o </w:t>
            </w:r>
            <w:proofErr w:type="gramStart"/>
            <w:r w:rsidRPr="008B5227">
              <w:rPr>
                <w:rFonts w:asciiTheme="minorHAnsi" w:hAnsiTheme="minorHAnsi"/>
                <w:color w:val="632423" w:themeColor="accent2" w:themeShade="80"/>
              </w:rPr>
              <w:t>pixel</w:t>
            </w:r>
            <w:proofErr w:type="gramEnd"/>
            <w:r w:rsidRPr="008B5227">
              <w:rPr>
                <w:rFonts w:asciiTheme="minorHAnsi" w:hAnsiTheme="minorHAnsi"/>
                <w:color w:val="632423" w:themeColor="accent2" w:themeShade="80"/>
              </w:rPr>
              <w:t>. (GM CCDR LVT)</w:t>
            </w:r>
            <w:r>
              <w:rPr>
                <w:rStyle w:val="Refdecomentrio"/>
                <w:lang w:eastAsia="en-US"/>
              </w:rPr>
              <w:annotationRef/>
            </w:r>
          </w:p>
        </w:tc>
      </w:tr>
      <w:tr w:rsidR="00E35DF4" w:rsidTr="00E35DF4">
        <w:trPr>
          <w:tblHeader/>
        </w:trPr>
        <w:tc>
          <w:tcPr>
            <w:tcW w:w="4430" w:type="dxa"/>
          </w:tcPr>
          <w:p w:rsidR="00E35DF4" w:rsidRPr="007872F9" w:rsidRDefault="00E35DF4" w:rsidP="00E35DF4">
            <w:r>
              <w:t xml:space="preserve"> </w:t>
            </w:r>
            <w:r w:rsidRPr="007872F9">
              <w:rPr>
                <w:b/>
                <w:bCs/>
              </w:rPr>
              <w:t xml:space="preserve">R </w:t>
            </w:r>
            <w:r>
              <w:t xml:space="preserve">- </w:t>
            </w:r>
            <w:r w:rsidRPr="007872F9">
              <w:t xml:space="preserve">erosividade da </w:t>
            </w:r>
            <w:r>
              <w:t>precipitação</w:t>
            </w:r>
          </w:p>
        </w:tc>
        <w:tc>
          <w:tcPr>
            <w:tcW w:w="4431" w:type="dxa"/>
          </w:tcPr>
          <w:p w:rsidR="00E35DF4" w:rsidRDefault="00E35DF4" w:rsidP="00E35DF4">
            <w:r>
              <w:t xml:space="preserve"> 1 - Os valores para o cálculo de R constantes do mapa de </w:t>
            </w:r>
            <w:proofErr w:type="spellStart"/>
            <w:r>
              <w:t>isoerodentes</w:t>
            </w:r>
            <w:proofErr w:type="spellEnd"/>
            <w:r>
              <w:t xml:space="preserve"> disponível no portal SNIRH, </w:t>
            </w:r>
            <w:r w:rsidRPr="007872F9">
              <w:t>estão em unidades americanas</w:t>
            </w:r>
            <w:r>
              <w:t xml:space="preserve"> (</w:t>
            </w:r>
            <w:proofErr w:type="spellStart"/>
            <w:proofErr w:type="gramStart"/>
            <w:r w:rsidRPr="00212BDD">
              <w:t>ton</w:t>
            </w:r>
            <w:proofErr w:type="spellEnd"/>
            <w:r w:rsidRPr="00212BDD">
              <w:t>[americanas</w:t>
            </w:r>
            <w:proofErr w:type="gramEnd"/>
            <w:r w:rsidRPr="00212BDD">
              <w:t>].pé/acre</w:t>
            </w:r>
            <w:r>
              <w:t>).  É sempre necessário proceder à sua conversão sendo mais um fator de entropia no cálculo do resultado. Na EUPS, a utilização da constante 2,24 destina-se a converter as unidades do valor de R para o Sistema Internacional *(t/</w:t>
            </w:r>
            <w:proofErr w:type="spellStart"/>
            <w:r>
              <w:t>ha.ano</w:t>
            </w:r>
            <w:proofErr w:type="spellEnd"/>
            <w:r>
              <w:t>). No entanto, esta constante também está a multiplicar pelo valor de K, cujos valores estão no Sistema Inglês (MJ/mm/</w:t>
            </w:r>
            <w:proofErr w:type="spellStart"/>
            <w:r>
              <w:t>ha</w:t>
            </w:r>
            <w:proofErr w:type="spellEnd"/>
            <w:r>
              <w:t xml:space="preserve">/anos), o que não devia acontecer.  </w:t>
            </w:r>
          </w:p>
          <w:p w:rsidR="00E35DF4" w:rsidRPr="00A54774" w:rsidRDefault="00E35DF4" w:rsidP="00E35DF4">
            <w:r>
              <w:t xml:space="preserve">2 - As unidades do mapa </w:t>
            </w:r>
            <w:proofErr w:type="spellStart"/>
            <w:r>
              <w:t>isoerodentes</w:t>
            </w:r>
            <w:proofErr w:type="spellEnd"/>
            <w:r>
              <w:t xml:space="preserve"> da APA não são as ideais para a realidade nacional, uma vez </w:t>
            </w:r>
            <w:r w:rsidRPr="00A54774">
              <w:t>que as unidades de prática comum são as do Sistema Internacional *(baseado no sistema métrico).</w:t>
            </w:r>
          </w:p>
          <w:p w:rsidR="00E35DF4" w:rsidRPr="00A54774" w:rsidRDefault="00E35DF4" w:rsidP="00E35DF4">
            <w:r w:rsidRPr="00A54774">
              <w:t xml:space="preserve">3 - O mapa de </w:t>
            </w:r>
            <w:proofErr w:type="spellStart"/>
            <w:r w:rsidRPr="00A54774">
              <w:t>isoerodentes</w:t>
            </w:r>
            <w:proofErr w:type="spellEnd"/>
            <w:r w:rsidRPr="00A54774">
              <w:t xml:space="preserve"> da APA utiliza valores médios de R, que nem sempre traduzem a realidade específica de um determinado território</w:t>
            </w:r>
          </w:p>
          <w:p w:rsidR="00E35DF4" w:rsidRDefault="00E35DF4" w:rsidP="00E35DF4">
            <w:r w:rsidRPr="00A54774">
              <w:t xml:space="preserve">4 – O mapa de </w:t>
            </w:r>
            <w:proofErr w:type="spellStart"/>
            <w:r w:rsidRPr="00A54774">
              <w:t>isoerodentes</w:t>
            </w:r>
            <w:proofErr w:type="spellEnd"/>
            <w:r w:rsidRPr="00A54774">
              <w:t xml:space="preserve"> da APA</w:t>
            </w:r>
            <w:r>
              <w:t xml:space="preserve"> reporta-se a 2003 e poderá, em alguns casos, não refletir a realidade.</w:t>
            </w:r>
          </w:p>
          <w:p w:rsidR="00E35DF4" w:rsidRDefault="00E35DF4" w:rsidP="00E35DF4"/>
          <w:p w:rsidR="00E35DF4" w:rsidRDefault="00E35DF4" w:rsidP="00E35DF4"/>
          <w:p w:rsidR="00E35DF4" w:rsidRDefault="00E35DF4" w:rsidP="00E35DF4"/>
        </w:tc>
        <w:tc>
          <w:tcPr>
            <w:tcW w:w="4431" w:type="dxa"/>
          </w:tcPr>
          <w:p w:rsidR="00E35DF4" w:rsidRDefault="00E35DF4" w:rsidP="00E35DF4">
            <w:r>
              <w:t xml:space="preserve">Retirar o 2,24 e converter todas as unidades para o Sistema Internacional *ou aplicar a constante 2,24 apenas ao fator R, quando este esteja em unidades americanas. </w:t>
            </w:r>
            <w:r>
              <w:rPr>
                <w:rStyle w:val="Refdecomentrio"/>
                <w:lang w:eastAsia="en-US"/>
              </w:rPr>
              <w:annotationRef/>
            </w:r>
          </w:p>
          <w:p w:rsidR="00E35DF4" w:rsidRDefault="00E35DF4" w:rsidP="00E35DF4">
            <w:r>
              <w:t xml:space="preserve">Há outra fonte de informação que possa ser utilizada nesta situação e que permita suprir este problema? </w:t>
            </w:r>
          </w:p>
          <w:p w:rsidR="00E35DF4" w:rsidRDefault="00E35DF4" w:rsidP="00E35DF4">
            <w:r>
              <w:t xml:space="preserve">Havendo informação mais precisa </w:t>
            </w:r>
            <w:r>
              <w:rPr>
                <w:rStyle w:val="Refdecomentrio"/>
                <w:lang w:eastAsia="en-US"/>
              </w:rPr>
              <w:annotationRef/>
            </w:r>
            <w:r>
              <w:t xml:space="preserve">para algumas áreas geográficas a mesma deverá ser usada sempre que possível. </w:t>
            </w:r>
          </w:p>
          <w:p w:rsidR="00E35DF4" w:rsidRDefault="00E35DF4" w:rsidP="00E35DF4">
            <w:r>
              <w:t xml:space="preserve">Quando uma mancha de território integra mais do que um tipo de solo, o seu valor de erodibilidade corresponde à média ponderada dos valores respeitantes a cada um dos solos. </w:t>
            </w:r>
          </w:p>
          <w:p w:rsidR="00E35DF4" w:rsidRDefault="00E35DF4" w:rsidP="00E35DF4">
            <w:r>
              <w:t>No caso dos solos cuja erodibilidade não esteja determinada pode recorrer-se a outros estudos tecnicamente sustentados, ou estimar o valor por analogia a…</w:t>
            </w:r>
            <w:r>
              <w:rPr>
                <w:rStyle w:val="Refdecomentrio"/>
                <w:lang w:eastAsia="en-US"/>
              </w:rPr>
              <w:annotationRef/>
            </w:r>
          </w:p>
          <w:p w:rsidR="00E35DF4" w:rsidRDefault="00E35DF4" w:rsidP="00E35DF4">
            <w:r>
              <w:t>4 –</w:t>
            </w:r>
            <w:proofErr w:type="gramStart"/>
            <w:r>
              <w:t>A</w:t>
            </w:r>
            <w:proofErr w:type="gramEnd"/>
            <w:r>
              <w:t xml:space="preserve"> APA de proceder  à atualização do mapa de </w:t>
            </w:r>
            <w:r w:rsidRPr="00A54774">
              <w:t xml:space="preserve"> </w:t>
            </w:r>
            <w:proofErr w:type="spellStart"/>
            <w:r w:rsidRPr="00A54774">
              <w:t>isoerodentes</w:t>
            </w:r>
            <w:proofErr w:type="spellEnd"/>
            <w:r>
              <w:t>, e até lá poderá ser utilizada uma carta</w:t>
            </w:r>
            <w:r>
              <w:rPr>
                <w:rStyle w:val="Refdecomentrio"/>
                <w:lang w:eastAsia="en-US"/>
              </w:rPr>
              <w:annotationRef/>
            </w:r>
            <w:r>
              <w:t xml:space="preserve"> mais recente produzida pela Comissão Europeia.</w:t>
            </w:r>
          </w:p>
        </w:tc>
      </w:tr>
      <w:tr w:rsidR="00E35DF4" w:rsidTr="00E35DF4">
        <w:trPr>
          <w:tblHeader/>
        </w:trPr>
        <w:tc>
          <w:tcPr>
            <w:tcW w:w="4430" w:type="dxa"/>
          </w:tcPr>
          <w:p w:rsidR="00E35DF4" w:rsidRPr="007872F9" w:rsidRDefault="00E35DF4" w:rsidP="00E35DF4">
            <w:r w:rsidRPr="0030596A">
              <w:rPr>
                <w:b/>
                <w:bCs/>
              </w:rPr>
              <w:t>K</w:t>
            </w:r>
            <w:r w:rsidRPr="0030596A">
              <w:t xml:space="preserve"> - erodibilidade do solo</w:t>
            </w:r>
            <w:r>
              <w:t xml:space="preserve"> </w:t>
            </w:r>
          </w:p>
        </w:tc>
        <w:tc>
          <w:tcPr>
            <w:tcW w:w="4431" w:type="dxa"/>
          </w:tcPr>
          <w:p w:rsidR="00E35DF4" w:rsidRDefault="00E35DF4" w:rsidP="00E35DF4">
            <w:pPr>
              <w:jc w:val="both"/>
            </w:pPr>
            <w:r>
              <w:t xml:space="preserve">1 - Nem todo o país está coberto pela carta de solos S.R.O.A à escala 1:25.000. Na ausência desta carta são utilizadas outras cartas (quais? </w:t>
            </w:r>
            <w:proofErr w:type="spellStart"/>
            <w:r w:rsidRPr="007F6F53">
              <w:rPr>
                <w:highlight w:val="yellow"/>
              </w:rPr>
              <w:t>Xxxx</w:t>
            </w:r>
            <w:proofErr w:type="spellEnd"/>
            <w:r>
              <w:t xml:space="preserve">), cujas </w:t>
            </w:r>
            <w:r w:rsidRPr="00D067BB">
              <w:rPr>
                <w:highlight w:val="yellow"/>
              </w:rPr>
              <w:t>escalas e classificações</w:t>
            </w:r>
            <w:r>
              <w:t xml:space="preserve"> não se relevam adequadas a uma delimitação que é feita à escala municipal.</w:t>
            </w:r>
          </w:p>
          <w:p w:rsidR="00E35DF4" w:rsidRDefault="00E35DF4" w:rsidP="00E35DF4">
            <w:r>
              <w:t xml:space="preserve">2 - Quer na tabela de classificação de solos S.R.O.A, quer na tabela de correspondência entre a classificação de solos da F.A.O e a de solos do S.R.O.A, os </w:t>
            </w:r>
            <w:r w:rsidRPr="00BC48DD">
              <w:t>valores de erodibilidade são apresentados em unidades métricas do Sistema Inglês</w:t>
            </w:r>
            <w:r>
              <w:t xml:space="preserve"> (MJ/mm/</w:t>
            </w:r>
            <w:proofErr w:type="spellStart"/>
            <w:r>
              <w:t>ha</w:t>
            </w:r>
            <w:proofErr w:type="spellEnd"/>
            <w:r>
              <w:t>/anos)</w:t>
            </w:r>
            <w:r w:rsidRPr="00BC48DD">
              <w:t xml:space="preserve">, o que implica fazer uma conversão para o </w:t>
            </w:r>
            <w:r>
              <w:t>Sistema Internacional *</w:t>
            </w:r>
            <w:r w:rsidRPr="00BC48DD">
              <w:t>(t/</w:t>
            </w:r>
            <w:proofErr w:type="spellStart"/>
            <w:r w:rsidRPr="00BC48DD">
              <w:t>ha.ano</w:t>
            </w:r>
            <w:proofErr w:type="spellEnd"/>
            <w:r>
              <w:t xml:space="preserve">). </w:t>
            </w:r>
          </w:p>
          <w:p w:rsidR="00E35DF4" w:rsidRDefault="00E35DF4" w:rsidP="00E35DF4">
            <w:r>
              <w:t>3 – As OENR remetem para o artigo de Pimenta,1999 que integra dois quadro com a correspondência entre a classificação da F.A.O. e a classificação da S.R.O.A. No referido artigo existem dois quadros com valores de K.</w:t>
            </w:r>
          </w:p>
          <w:p w:rsidR="00E35DF4" w:rsidRDefault="00E35DF4" w:rsidP="00E35DF4">
            <w:r>
              <w:t xml:space="preserve">4 - No quadro 4 (página 8) o valor de k está em unidades do </w:t>
            </w:r>
            <w:r w:rsidRPr="00BC48DD">
              <w:t>Sistema Inglês</w:t>
            </w:r>
            <w:r>
              <w:t xml:space="preserve"> (MJ/mm/</w:t>
            </w:r>
            <w:proofErr w:type="spellStart"/>
            <w:r>
              <w:t>ha</w:t>
            </w:r>
            <w:proofErr w:type="spellEnd"/>
            <w:r>
              <w:t xml:space="preserve">/anos), ainda que a coluna não o refira. No quadro que consta do anexo ao artigo (páginas 10 a 12) o K é apresentado em unidades do S.I </w:t>
            </w:r>
            <w:r>
              <w:rPr>
                <w:rStyle w:val="Refdecomentrio"/>
                <w:lang w:eastAsia="en-US"/>
              </w:rPr>
              <w:annotationRef/>
            </w:r>
            <w:r>
              <w:t>e métricas, as quais, tal como a fórmula está apresentada, não podem ser multiplicadas diretamente por R do SNIRH está em unidades americanas. Paralelamente a constante de 2,24 visa converter o R para o Sistema Internacional, e não o K.</w:t>
            </w:r>
            <w:r>
              <w:rPr>
                <w:rStyle w:val="Refdecomentrio"/>
                <w:lang w:eastAsia="en-US"/>
              </w:rPr>
              <w:annotationRef/>
            </w:r>
          </w:p>
          <w:p w:rsidR="00E35DF4" w:rsidRDefault="00E35DF4" w:rsidP="00E35DF4"/>
          <w:p w:rsidR="00E35DF4" w:rsidRDefault="00E35DF4" w:rsidP="00E35DF4"/>
          <w:p w:rsidR="00E35DF4" w:rsidRDefault="00E35DF4" w:rsidP="00E35DF4">
            <w:r>
              <w:t xml:space="preserve"> </w:t>
            </w:r>
          </w:p>
        </w:tc>
        <w:tc>
          <w:tcPr>
            <w:tcW w:w="4431" w:type="dxa"/>
          </w:tcPr>
          <w:p w:rsidR="00E35DF4" w:rsidRDefault="00E35DF4" w:rsidP="00E35DF4">
            <w:r>
              <w:t>1 – Na ausência de carta de solos à escala 1:25 000 pode utilizar-se a cartografia da JRC (</w:t>
            </w:r>
            <w:proofErr w:type="spellStart"/>
            <w:r>
              <w:t>Joint</w:t>
            </w:r>
            <w:proofErr w:type="spellEnd"/>
            <w:r>
              <w:t xml:space="preserve"> </w:t>
            </w:r>
            <w:proofErr w:type="spellStart"/>
            <w:r>
              <w:t>Reserach</w:t>
            </w:r>
            <w:proofErr w:type="spellEnd"/>
            <w:r>
              <w:t xml:space="preserve"> </w:t>
            </w:r>
            <w:proofErr w:type="spellStart"/>
            <w:proofErr w:type="gramStart"/>
            <w:r>
              <w:t>Center</w:t>
            </w:r>
            <w:proofErr w:type="spellEnd"/>
            <w:r>
              <w:t xml:space="preserve">) </w:t>
            </w:r>
            <w:r>
              <w:rPr>
                <w:rStyle w:val="Refdecomentrio"/>
                <w:lang w:eastAsia="en-US"/>
              </w:rPr>
              <w:annotationRef/>
            </w:r>
            <w:r>
              <w:t>.</w:t>
            </w:r>
            <w:proofErr w:type="gramEnd"/>
            <w:r>
              <w:t xml:space="preserve">   </w:t>
            </w:r>
          </w:p>
          <w:p w:rsidR="00E35DF4" w:rsidRDefault="00E35DF4" w:rsidP="00E35DF4">
            <w:r>
              <w:t>A DGADR ficou de enviar a lista com as cartas 1:25000</w:t>
            </w:r>
          </w:p>
          <w:p w:rsidR="00E35DF4" w:rsidRDefault="00E35DF4" w:rsidP="00E35DF4">
            <w:r>
              <w:t xml:space="preserve">2 – </w:t>
            </w:r>
          </w:p>
          <w:p w:rsidR="00E35DF4" w:rsidRDefault="00E35DF4" w:rsidP="00E35DF4">
            <w:r>
              <w:t xml:space="preserve">3 – </w:t>
            </w:r>
          </w:p>
          <w:p w:rsidR="00E35DF4" w:rsidRDefault="00E35DF4" w:rsidP="00E35DF4"/>
          <w:p w:rsidR="00E35DF4" w:rsidRDefault="00E35DF4" w:rsidP="00E35DF4"/>
        </w:tc>
      </w:tr>
      <w:tr w:rsidR="00E35DF4" w:rsidTr="00E35DF4">
        <w:trPr>
          <w:tblHeader/>
        </w:trPr>
        <w:tc>
          <w:tcPr>
            <w:tcW w:w="4430" w:type="dxa"/>
          </w:tcPr>
          <w:p w:rsidR="00E35DF4" w:rsidRPr="007872F9" w:rsidRDefault="00E35DF4" w:rsidP="00E35DF4">
            <w:r w:rsidRPr="007872F9">
              <w:rPr>
                <w:b/>
                <w:bCs/>
              </w:rPr>
              <w:t>L</w:t>
            </w:r>
            <w:r w:rsidRPr="007872F9">
              <w:t xml:space="preserve"> </w:t>
            </w:r>
            <w:r>
              <w:t>= (λ/22,</w:t>
            </w:r>
            <w:proofErr w:type="gramStart"/>
            <w:r>
              <w:t>13)</w:t>
            </w:r>
            <w:r w:rsidRPr="003030AE">
              <w:rPr>
                <w:vertAlign w:val="superscript"/>
              </w:rPr>
              <w:t>m</w:t>
            </w:r>
            <w:proofErr w:type="gramEnd"/>
            <w:r>
              <w:rPr>
                <w:vertAlign w:val="superscript"/>
              </w:rPr>
              <w:t xml:space="preserve"> </w:t>
            </w:r>
            <w:r>
              <w:t xml:space="preserve">- </w:t>
            </w:r>
            <w:r w:rsidRPr="007872F9">
              <w:t>comprimento das vertentes</w:t>
            </w:r>
            <w:r>
              <w:t xml:space="preserve"> ou comprimento da encosta</w:t>
            </w:r>
          </w:p>
        </w:tc>
        <w:tc>
          <w:tcPr>
            <w:tcW w:w="4431" w:type="dxa"/>
          </w:tcPr>
          <w:p w:rsidR="00E35DF4" w:rsidRDefault="00E35DF4" w:rsidP="00E35DF4">
            <w:r>
              <w:t xml:space="preserve">A tabela que está publicada para o cálculo do </w:t>
            </w:r>
            <w:r w:rsidRPr="003030AE">
              <w:rPr>
                <w:i/>
              </w:rPr>
              <w:t>m</w:t>
            </w:r>
            <w:r>
              <w:rPr>
                <w:i/>
              </w:rPr>
              <w:t xml:space="preserve"> </w:t>
            </w:r>
            <w:r>
              <w:t>contém erros, porque não considera as classes de declive entre o 3-3,5% e entre o 4,5-5%.</w:t>
            </w:r>
          </w:p>
          <w:p w:rsidR="00E35DF4" w:rsidRPr="003030AE" w:rsidRDefault="00E35DF4" w:rsidP="00E35DF4">
            <w:r>
              <w:rPr>
                <w:rFonts w:asciiTheme="minorHAnsi" w:hAnsiTheme="minorHAnsi"/>
                <w:color w:val="632423" w:themeColor="accent2" w:themeShade="80"/>
              </w:rPr>
              <w:t>5 - A</w:t>
            </w:r>
            <w:r w:rsidRPr="008B5227">
              <w:rPr>
                <w:rFonts w:asciiTheme="minorHAnsi" w:hAnsiTheme="minorHAnsi"/>
                <w:color w:val="632423" w:themeColor="accent2" w:themeShade="80"/>
              </w:rPr>
              <w:t xml:space="preserve"> componente λ é calculada a partir do Mapa do Sentido dos Fluxos / Acumulação de Fluxos. No entanto, o valor do fluxo acumulado pode incluir células que se encontram em fundos de vales planos e que não refletem, nos seus valores, o real comprimento das vertentes.</w:t>
            </w:r>
          </w:p>
        </w:tc>
        <w:tc>
          <w:tcPr>
            <w:tcW w:w="4431" w:type="dxa"/>
          </w:tcPr>
          <w:p w:rsidR="00E35DF4" w:rsidRDefault="00E35DF4" w:rsidP="00E35DF4">
            <w:r>
              <w:t xml:space="preserve">Há </w:t>
            </w:r>
            <w:proofErr w:type="gramStart"/>
            <w:r>
              <w:t>software</w:t>
            </w:r>
            <w:proofErr w:type="gramEnd"/>
            <w:r>
              <w:t xml:space="preserve"> com módulos específicos para o cálculo do comprimento das vertentes. O modelo deve ser aferido com a maior encosta</w:t>
            </w:r>
            <w:r>
              <w:rPr>
                <w:rStyle w:val="Refdecomentrio"/>
                <w:lang w:eastAsia="en-US"/>
              </w:rPr>
              <w:annotationRef/>
            </w:r>
            <w:r>
              <w:t>.</w:t>
            </w:r>
          </w:p>
          <w:p w:rsidR="00E35DF4" w:rsidRDefault="00E35DF4" w:rsidP="00E35DF4">
            <w:r>
              <w:rPr>
                <w:rFonts w:asciiTheme="minorHAnsi" w:hAnsiTheme="minorHAnsi"/>
                <w:color w:val="632423" w:themeColor="accent2" w:themeShade="80"/>
              </w:rPr>
              <w:t xml:space="preserve">5- </w:t>
            </w:r>
            <w:r w:rsidRPr="008B5227">
              <w:rPr>
                <w:rFonts w:asciiTheme="minorHAnsi" w:hAnsiTheme="minorHAnsi"/>
                <w:color w:val="632423" w:themeColor="accent2" w:themeShade="80"/>
              </w:rPr>
              <w:t>Deve ser aplicada uma função condicional de modo a fazer corresponder o número máximo de células acumulado ao comprimento máximo da encosta verificado no concelho com base no Modelo Numérico de Eleva</w:t>
            </w:r>
            <w:r>
              <w:rPr>
                <w:rFonts w:asciiTheme="minorHAnsi" w:hAnsiTheme="minorHAnsi"/>
                <w:color w:val="632423" w:themeColor="accent2" w:themeShade="80"/>
              </w:rPr>
              <w:t xml:space="preserve">ção </w:t>
            </w:r>
            <w:r w:rsidRPr="008B5227">
              <w:rPr>
                <w:rFonts w:asciiTheme="minorHAnsi" w:hAnsiTheme="minorHAnsi"/>
                <w:color w:val="632423" w:themeColor="accent2" w:themeShade="80"/>
              </w:rPr>
              <w:t>(GM CCDR LVT</w:t>
            </w:r>
            <w:r>
              <w:rPr>
                <w:rFonts w:asciiTheme="minorHAnsi" w:hAnsiTheme="minorHAnsi"/>
                <w:color w:val="632423" w:themeColor="accent2" w:themeShade="80"/>
              </w:rPr>
              <w:t>)</w:t>
            </w:r>
          </w:p>
        </w:tc>
      </w:tr>
      <w:tr w:rsidR="00E35DF4" w:rsidTr="00E35DF4">
        <w:trPr>
          <w:tblHeader/>
        </w:trPr>
        <w:tc>
          <w:tcPr>
            <w:tcW w:w="4430" w:type="dxa"/>
          </w:tcPr>
          <w:p w:rsidR="00E35DF4" w:rsidRPr="007872F9" w:rsidRDefault="00E35DF4" w:rsidP="00E35DF4">
            <w:r w:rsidRPr="007872F9">
              <w:rPr>
                <w:b/>
                <w:bCs/>
              </w:rPr>
              <w:t>S</w:t>
            </w:r>
            <w:r w:rsidRPr="007872F9">
              <w:t xml:space="preserve"> </w:t>
            </w:r>
            <w:r>
              <w:t xml:space="preserve">- </w:t>
            </w:r>
            <w:r w:rsidRPr="007872F9">
              <w:t>inclinação das vertentes</w:t>
            </w:r>
            <w:r>
              <w:t xml:space="preserve"> ou declive</w:t>
            </w:r>
          </w:p>
        </w:tc>
        <w:tc>
          <w:tcPr>
            <w:tcW w:w="4431" w:type="dxa"/>
          </w:tcPr>
          <w:p w:rsidR="00E35DF4" w:rsidRDefault="00E35DF4" w:rsidP="00E35DF4"/>
        </w:tc>
        <w:tc>
          <w:tcPr>
            <w:tcW w:w="4431" w:type="dxa"/>
          </w:tcPr>
          <w:p w:rsidR="00E35DF4" w:rsidRDefault="00E35DF4" w:rsidP="00E35DF4">
            <w:r>
              <w:t>Quando se está a calcular o declive através de SIG deve ter-se em atenção</w:t>
            </w:r>
            <w:r w:rsidRPr="00492220">
              <w:t xml:space="preserve">, </w:t>
            </w:r>
            <w:r>
              <w:t>nos logaritmos utilizados</w:t>
            </w:r>
            <w:r w:rsidRPr="00492220">
              <w:t>,</w:t>
            </w:r>
            <w:r>
              <w:t xml:space="preserve"> se o declive é </w:t>
            </w:r>
            <w:r w:rsidRPr="00492220">
              <w:t>em graus, radianos ou percentagem</w:t>
            </w:r>
            <w:r>
              <w:t xml:space="preserve">, pois no cálculo de LS, θ está em radianos. </w:t>
            </w:r>
          </w:p>
        </w:tc>
      </w:tr>
      <w:tr w:rsidR="00E35DF4" w:rsidTr="00E35DF4">
        <w:trPr>
          <w:tblHeader/>
        </w:trPr>
        <w:tc>
          <w:tcPr>
            <w:tcW w:w="4430" w:type="dxa"/>
          </w:tcPr>
          <w:p w:rsidR="00E35DF4" w:rsidRPr="007872F9" w:rsidRDefault="00E35DF4" w:rsidP="00E35DF4">
            <w:pPr>
              <w:rPr>
                <w:b/>
                <w:bCs/>
              </w:rPr>
            </w:pPr>
            <w:r>
              <w:rPr>
                <w:b/>
                <w:bCs/>
              </w:rPr>
              <w:t xml:space="preserve">LS </w:t>
            </w:r>
            <w:r>
              <w:t>-</w:t>
            </w:r>
            <w:r w:rsidRPr="00D36B8E">
              <w:t xml:space="preserve"> Fator topográfico</w:t>
            </w:r>
          </w:p>
        </w:tc>
        <w:tc>
          <w:tcPr>
            <w:tcW w:w="4431" w:type="dxa"/>
          </w:tcPr>
          <w:p w:rsidR="00E35DF4" w:rsidRDefault="00E35DF4" w:rsidP="00E35DF4">
            <w:r>
              <w:t xml:space="preserve">Para o fator LS os SIG utilizam uma fórmula de cálculo que é a mais referida na bibliografia de referência e que assume valores médios para os expoentes. A fórmula das OENR é ligeiramente diferente e mais complexa. </w:t>
            </w:r>
          </w:p>
          <w:p w:rsidR="00E35DF4" w:rsidRDefault="00E35DF4" w:rsidP="00E35DF4">
            <w:r w:rsidRPr="00A15FF7">
              <w:t xml:space="preserve">A </w:t>
            </w:r>
            <w:proofErr w:type="gramStart"/>
            <w:r w:rsidRPr="00A15FF7">
              <w:t xml:space="preserve">expressão </w:t>
            </w:r>
            <w:r>
              <w:t xml:space="preserve"> </w:t>
            </w:r>
            <w:proofErr w:type="gramEnd"/>
            <w:r w:rsidRPr="007E53D0">
              <w:rPr>
                <w:sz w:val="22"/>
                <w:szCs w:val="22"/>
                <w:lang w:eastAsia="en-US"/>
              </w:rPr>
              <w:object w:dxaOrig="6225" w:dyaOrig="780">
                <v:shape id="_x0000_i1026" type="#_x0000_t75" style="width:146.25pt;height:18.75pt" o:ole="">
                  <v:imagedata r:id="rId1" o:title=""/>
                </v:shape>
                <o:OLEObject Type="Embed" ProgID="PBrush" ShapeID="_x0000_i1026" DrawAspect="Content" ObjectID="_1528019662" r:id="rId2"/>
              </w:object>
            </w:r>
          </w:p>
          <w:p w:rsidR="00E35DF4" w:rsidRDefault="00E35DF4" w:rsidP="00E35DF4">
            <w:proofErr w:type="gramStart"/>
            <w:r w:rsidRPr="00A15FF7">
              <w:t>es</w:t>
            </w:r>
            <w:r>
              <w:t>tá</w:t>
            </w:r>
            <w:proofErr w:type="gramEnd"/>
            <w:r>
              <w:t xml:space="preserve"> em unidades anglo-saxónicas (72,6 significa que o valore de  λ estão em pés). P</w:t>
            </w:r>
            <w:r w:rsidRPr="00A15FF7">
              <w:t xml:space="preserve">ara </w:t>
            </w:r>
            <w:r>
              <w:t>λ estar</w:t>
            </w:r>
            <w:r w:rsidRPr="00A15FF7">
              <w:t xml:space="preserve"> em </w:t>
            </w:r>
            <w:r w:rsidRPr="00667735">
              <w:rPr>
                <w:highlight w:val="magenta"/>
              </w:rPr>
              <w:t>unidades métricas</w:t>
            </w:r>
            <w:r w:rsidRPr="00A15FF7">
              <w:t xml:space="preserve">, </w:t>
            </w:r>
            <w:r>
              <w:rPr>
                <w:rStyle w:val="Refdecomentrio"/>
                <w:lang w:eastAsia="en-US"/>
              </w:rPr>
              <w:annotationRef/>
            </w:r>
            <w:r w:rsidRPr="00A15FF7">
              <w:t>o denominador “72,6” deve ser substituído por “22,13</w:t>
            </w:r>
            <w:r>
              <w:t>”.</w:t>
            </w:r>
          </w:p>
          <w:p w:rsidR="00E35DF4" w:rsidRDefault="00E35DF4" w:rsidP="00E35DF4">
            <w:r>
              <w:t>Há uma omissão na legislação relativamente às unidades, o que dificulta a aplicação da fórmula</w:t>
            </w:r>
            <w:r>
              <w:rPr>
                <w:rStyle w:val="Refdecomentrio"/>
                <w:lang w:eastAsia="en-US"/>
              </w:rPr>
              <w:annotationRef/>
            </w:r>
            <w:r>
              <w:t>.</w:t>
            </w:r>
          </w:p>
          <w:p w:rsidR="00E35DF4" w:rsidRDefault="00E35DF4" w:rsidP="00E35DF4">
            <w:r>
              <w:t xml:space="preserve">A fórmula proposta na legislação para o cálculo de LS é um método muito utilizado em hidrologia e o resultado final nem sempre traduz a realidade do território, devendo ser avaliado. </w:t>
            </w:r>
          </w:p>
          <w:p w:rsidR="00E35DF4" w:rsidRDefault="00E35DF4" w:rsidP="00E35DF4"/>
        </w:tc>
        <w:tc>
          <w:tcPr>
            <w:tcW w:w="4431" w:type="dxa"/>
          </w:tcPr>
          <w:p w:rsidR="00E35DF4" w:rsidRDefault="00E35DF4" w:rsidP="00E35DF4">
            <w:pPr>
              <w:rPr>
                <w:rFonts w:asciiTheme="minorHAnsi" w:hAnsiTheme="minorHAnsi"/>
                <w:color w:val="632423" w:themeColor="accent2" w:themeShade="80"/>
              </w:rPr>
            </w:pPr>
            <w:r w:rsidRPr="008B5227">
              <w:rPr>
                <w:rFonts w:asciiTheme="minorHAnsi" w:hAnsiTheme="minorHAnsi"/>
                <w:color w:val="632423" w:themeColor="accent2" w:themeShade="80"/>
              </w:rPr>
              <w:t xml:space="preserve">Considerando que as OENR indicam a possibilidade de utilização de ferramenta SIG para o cálculo do LS, é apresentada </w:t>
            </w:r>
            <w:proofErr w:type="gramStart"/>
            <w:r w:rsidRPr="008B5227">
              <w:rPr>
                <w:rFonts w:asciiTheme="minorHAnsi" w:hAnsiTheme="minorHAnsi"/>
                <w:color w:val="632423" w:themeColor="accent2" w:themeShade="80"/>
              </w:rPr>
              <w:t>no  GM</w:t>
            </w:r>
            <w:proofErr w:type="gramEnd"/>
            <w:r w:rsidRPr="008B5227">
              <w:rPr>
                <w:rFonts w:asciiTheme="minorHAnsi" w:hAnsiTheme="minorHAnsi"/>
                <w:color w:val="632423" w:themeColor="accent2" w:themeShade="80"/>
              </w:rPr>
              <w:t xml:space="preserve"> CCDR LVT </w:t>
            </w:r>
            <w:r>
              <w:rPr>
                <w:rFonts w:asciiTheme="minorHAnsi" w:hAnsiTheme="minorHAnsi"/>
                <w:color w:val="632423" w:themeColor="accent2" w:themeShade="80"/>
              </w:rPr>
              <w:t xml:space="preserve"> </w:t>
            </w:r>
            <w:r w:rsidRPr="008B5227">
              <w:rPr>
                <w:rFonts w:asciiTheme="minorHAnsi" w:hAnsiTheme="minorHAnsi"/>
                <w:color w:val="632423" w:themeColor="accent2" w:themeShade="80"/>
              </w:rPr>
              <w:t xml:space="preserve">uma expressão alternativa que foi testada por algumas CM e que se mostrou fiável (modelo desenvolvido por </w:t>
            </w:r>
            <w:proofErr w:type="spellStart"/>
            <w:r w:rsidRPr="008B5227">
              <w:rPr>
                <w:rFonts w:asciiTheme="minorHAnsi" w:hAnsiTheme="minorHAnsi"/>
                <w:color w:val="632423" w:themeColor="accent2" w:themeShade="80"/>
              </w:rPr>
              <w:t>Mitasova</w:t>
            </w:r>
            <w:proofErr w:type="spellEnd"/>
            <w:r w:rsidRPr="008B5227">
              <w:rPr>
                <w:rFonts w:asciiTheme="minorHAnsi" w:hAnsiTheme="minorHAnsi"/>
                <w:color w:val="632423" w:themeColor="accent2" w:themeShade="80"/>
              </w:rPr>
              <w:t xml:space="preserve">).  </w:t>
            </w:r>
          </w:p>
          <w:p w:rsidR="00E35DF4" w:rsidRDefault="00E35DF4" w:rsidP="00E35DF4">
            <w:r>
              <w:rPr>
                <w:rFonts w:asciiTheme="minorHAnsi" w:hAnsiTheme="minorHAnsi"/>
                <w:color w:val="632423" w:themeColor="accent2" w:themeShade="80"/>
              </w:rPr>
              <w:t xml:space="preserve">Relativamente à componente </w:t>
            </w:r>
            <w:r>
              <w:rPr>
                <w:color w:val="632423" w:themeColor="accent2" w:themeShade="80"/>
              </w:rPr>
              <w:t>θ</w:t>
            </w:r>
            <w:r>
              <w:rPr>
                <w:rFonts w:asciiTheme="minorHAnsi" w:hAnsiTheme="minorHAnsi"/>
                <w:color w:val="632423" w:themeColor="accent2" w:themeShade="80"/>
              </w:rPr>
              <w:t xml:space="preserve">  (ângulo associado à inclinação do desnível), s</w:t>
            </w:r>
            <w:r w:rsidRPr="008B5227">
              <w:rPr>
                <w:rFonts w:asciiTheme="minorHAnsi" w:hAnsiTheme="minorHAnsi"/>
                <w:color w:val="632423" w:themeColor="accent2" w:themeShade="80"/>
              </w:rPr>
              <w:t xml:space="preserve">endo utilizado </w:t>
            </w:r>
            <w:proofErr w:type="gramStart"/>
            <w:r w:rsidRPr="008B5227">
              <w:rPr>
                <w:rFonts w:asciiTheme="minorHAnsi" w:hAnsiTheme="minorHAnsi"/>
                <w:color w:val="632423" w:themeColor="accent2" w:themeShade="80"/>
              </w:rPr>
              <w:t>software</w:t>
            </w:r>
            <w:proofErr w:type="gramEnd"/>
            <w:r w:rsidRPr="008B5227">
              <w:rPr>
                <w:rFonts w:asciiTheme="minorHAnsi" w:hAnsiTheme="minorHAnsi"/>
                <w:color w:val="632423" w:themeColor="accent2" w:themeShade="80"/>
              </w:rPr>
              <w:t xml:space="preserve"> que calcula os senos com base na medida angular – radianos - o declive é apresentado em radianos. Criam-se duas cartas de declives, uma em percentagem para cálculo do </w:t>
            </w:r>
            <w:r>
              <w:rPr>
                <w:rFonts w:asciiTheme="minorHAnsi" w:hAnsiTheme="minorHAnsi"/>
                <w:color w:val="632423" w:themeColor="accent2" w:themeShade="80"/>
              </w:rPr>
              <w:t>ex</w:t>
            </w:r>
            <w:r w:rsidRPr="008B5227">
              <w:rPr>
                <w:rFonts w:asciiTheme="minorHAnsi" w:hAnsiTheme="minorHAnsi"/>
                <w:color w:val="632423" w:themeColor="accent2" w:themeShade="80"/>
              </w:rPr>
              <w:t>poente “m” e outra em graus para ser convertido num mapa de inclinações em radianos (θ).</w:t>
            </w:r>
          </w:p>
        </w:tc>
      </w:tr>
      <w:tr w:rsidR="00E35DF4" w:rsidTr="00E35DF4">
        <w:trPr>
          <w:tblHeader/>
        </w:trPr>
        <w:tc>
          <w:tcPr>
            <w:tcW w:w="4430" w:type="dxa"/>
          </w:tcPr>
          <w:p w:rsidR="00E35DF4" w:rsidRPr="007872F9" w:rsidRDefault="00E35DF4" w:rsidP="00E35DF4">
            <w:r w:rsidRPr="007872F9">
              <w:rPr>
                <w:b/>
              </w:rPr>
              <w:t>C</w:t>
            </w:r>
            <w:r>
              <w:t xml:space="preserve"> - </w:t>
            </w:r>
            <w:r w:rsidRPr="007872F9">
              <w:t>cobertura do solo</w:t>
            </w:r>
          </w:p>
        </w:tc>
        <w:tc>
          <w:tcPr>
            <w:tcW w:w="4431" w:type="dxa"/>
          </w:tcPr>
          <w:p w:rsidR="00E35DF4" w:rsidRDefault="00E35DF4" w:rsidP="00E35DF4">
            <w:pPr>
              <w:jc w:val="both"/>
            </w:pPr>
            <w:r>
              <w:t xml:space="preserve">O fator C assume uma determinada cobertura do solo que pode não ser a que existe no terreno no momento de delimitação da REN, pois as cartas de ocupação do solo têm, em muitos dos casos, um desfasamento temporal em relação à data da delimitação da REN. </w:t>
            </w:r>
          </w:p>
          <w:p w:rsidR="00E35DF4" w:rsidRDefault="00E35DF4" w:rsidP="00E35DF4">
            <w:pPr>
              <w:jc w:val="both"/>
            </w:pPr>
            <w:r>
              <w:t>Para além deste aspeto, a ocupação do solo pode estar em contínua alteração, não correspondendo necessariamente à ocupação de solo considerada no momento da delimitação da REN (por exemplo, à data da delimitação da REN o solo estava protegido por um determinado coberto vegetal que pode ter desaparecido na sequência de um incêndio florestal).</w:t>
            </w:r>
          </w:p>
          <w:p w:rsidR="00E35DF4" w:rsidRDefault="00E35DF4" w:rsidP="00E35DF4">
            <w:pPr>
              <w:jc w:val="both"/>
            </w:pPr>
          </w:p>
        </w:tc>
        <w:tc>
          <w:tcPr>
            <w:tcW w:w="4431" w:type="dxa"/>
          </w:tcPr>
          <w:p w:rsidR="00E35DF4" w:rsidRDefault="00E35DF4" w:rsidP="00E35DF4">
            <w:pPr>
              <w:rPr>
                <w:highlight w:val="yellow"/>
              </w:rPr>
            </w:pPr>
            <w:r w:rsidRPr="00FB7148">
              <w:rPr>
                <w:highlight w:val="yellow"/>
              </w:rPr>
              <w:t xml:space="preserve">Considerar o C </w:t>
            </w:r>
            <w:r>
              <w:rPr>
                <w:highlight w:val="yellow"/>
              </w:rPr>
              <w:t xml:space="preserve">e P </w:t>
            </w:r>
            <w:r w:rsidRPr="00FB7148">
              <w:rPr>
                <w:highlight w:val="yellow"/>
              </w:rPr>
              <w:t xml:space="preserve">igual a 1? </w:t>
            </w:r>
          </w:p>
          <w:p w:rsidR="00E35DF4" w:rsidRPr="00FB7148" w:rsidRDefault="00E35DF4" w:rsidP="00E35DF4">
            <w:pPr>
              <w:rPr>
                <w:highlight w:val="yellow"/>
              </w:rPr>
            </w:pPr>
            <w:r w:rsidRPr="00FB7148">
              <w:rPr>
                <w:highlight w:val="yellow"/>
              </w:rPr>
              <w:t>Fazer ajustamentos regionais?</w:t>
            </w:r>
          </w:p>
          <w:p w:rsidR="00E35DF4" w:rsidRDefault="00E35DF4" w:rsidP="00E35DF4">
            <w:pPr>
              <w:rPr>
                <w:rFonts w:asciiTheme="minorHAnsi" w:hAnsiTheme="minorHAnsi"/>
                <w:color w:val="632423" w:themeColor="accent2" w:themeShade="80"/>
              </w:rPr>
            </w:pPr>
            <w:r>
              <w:t>Considerando que os fatores C e P são mutáveis no tempo e no espaço, o que dificulta a sua determinação, sobretudo em territórios com grande heterogeneidade</w:t>
            </w:r>
            <w:r>
              <w:rPr>
                <w:highlight w:val="yellow"/>
              </w:rPr>
              <w:t xml:space="preserve">, a </w:t>
            </w:r>
            <w:r w:rsidRPr="00444FA8">
              <w:t xml:space="preserve">CNREN </w:t>
            </w:r>
            <w:r>
              <w:t>recomendou em 2013 (ver recomendação técnica de 24.09.</w:t>
            </w:r>
            <w:proofErr w:type="gramStart"/>
            <w:r>
              <w:t>2013)  que</w:t>
            </w:r>
            <w:proofErr w:type="gramEnd"/>
            <w:r>
              <w:t>, perante a «</w:t>
            </w:r>
            <w:r w:rsidRPr="00A47FE7">
              <w:t>dificuldade em determinar um valor que traduza a mutabilidade e heterogeneidade associada aos fatores relacionados com o uso do solo e a atividade humana, e por forma a assumirem um carácter preventivo, podem considerar-se na aplicação da EUPS, os valores constantes que melhor traduzam os fatores C e P</w:t>
            </w:r>
            <w:r>
              <w:rPr>
                <w:i/>
              </w:rPr>
              <w:t>»</w:t>
            </w:r>
            <w:r>
              <w:t>.</w:t>
            </w:r>
            <w:r w:rsidRPr="008B5227">
              <w:rPr>
                <w:rFonts w:asciiTheme="minorHAnsi" w:hAnsiTheme="minorHAnsi"/>
                <w:color w:val="632423" w:themeColor="accent2" w:themeShade="80"/>
              </w:rPr>
              <w:t xml:space="preserve"> </w:t>
            </w:r>
          </w:p>
          <w:p w:rsidR="00E35DF4" w:rsidRPr="00090EC6" w:rsidRDefault="00E35DF4" w:rsidP="00E35DF4">
            <w:pPr>
              <w:rPr>
                <w:highlight w:val="yellow"/>
              </w:rPr>
            </w:pPr>
            <w:r w:rsidRPr="008B5227">
              <w:rPr>
                <w:rFonts w:asciiTheme="minorHAnsi" w:hAnsiTheme="minorHAnsi"/>
                <w:color w:val="632423" w:themeColor="accent2" w:themeShade="80"/>
              </w:rPr>
              <w:t>Na impossibilidade de determinar um valor que traduza aquelas mutabilidade e heterogeneidade,</w:t>
            </w:r>
            <w:r>
              <w:rPr>
                <w:rFonts w:asciiTheme="minorHAnsi" w:hAnsiTheme="minorHAnsi"/>
                <w:color w:val="632423" w:themeColor="accent2" w:themeShade="80"/>
              </w:rPr>
              <w:t xml:space="preserve"> </w:t>
            </w:r>
            <w:proofErr w:type="gramStart"/>
            <w:r>
              <w:rPr>
                <w:rFonts w:asciiTheme="minorHAnsi" w:hAnsiTheme="minorHAnsi"/>
                <w:color w:val="632423" w:themeColor="accent2" w:themeShade="80"/>
              </w:rPr>
              <w:t xml:space="preserve">o </w:t>
            </w:r>
            <w:r w:rsidRPr="008B5227">
              <w:rPr>
                <w:rFonts w:asciiTheme="minorHAnsi" w:hAnsiTheme="minorHAnsi"/>
                <w:color w:val="632423" w:themeColor="accent2" w:themeShade="80"/>
              </w:rPr>
              <w:t xml:space="preserve"> GM</w:t>
            </w:r>
            <w:proofErr w:type="gramEnd"/>
            <w:r w:rsidRPr="008B5227">
              <w:rPr>
                <w:rFonts w:asciiTheme="minorHAnsi" w:hAnsiTheme="minorHAnsi"/>
                <w:color w:val="632423" w:themeColor="accent2" w:themeShade="80"/>
              </w:rPr>
              <w:t xml:space="preserve"> CCDR LVT </w:t>
            </w:r>
            <w:r>
              <w:rPr>
                <w:rFonts w:asciiTheme="minorHAnsi" w:hAnsiTheme="minorHAnsi"/>
                <w:color w:val="632423" w:themeColor="accent2" w:themeShade="80"/>
              </w:rPr>
              <w:t xml:space="preserve"> recomenda que os fatores C e P assuma</w:t>
            </w:r>
            <w:r w:rsidRPr="008B5227">
              <w:rPr>
                <w:rFonts w:asciiTheme="minorHAnsi" w:hAnsiTheme="minorHAnsi"/>
                <w:color w:val="632423" w:themeColor="accent2" w:themeShade="80"/>
              </w:rPr>
              <w:t>m cada um, com caracter preventivo, um valor constante que n</w:t>
            </w:r>
            <w:r>
              <w:rPr>
                <w:rFonts w:asciiTheme="minorHAnsi" w:hAnsiTheme="minorHAnsi"/>
                <w:color w:val="632423" w:themeColor="accent2" w:themeShade="80"/>
              </w:rPr>
              <w:t>ão afete</w:t>
            </w:r>
            <w:r w:rsidRPr="008B5227">
              <w:rPr>
                <w:rFonts w:asciiTheme="minorHAnsi" w:hAnsiTheme="minorHAnsi"/>
                <w:color w:val="632423" w:themeColor="accent2" w:themeShade="80"/>
              </w:rPr>
              <w:t xml:space="preserve"> o resultado das restantes variáveis (o valor 1). </w:t>
            </w:r>
          </w:p>
        </w:tc>
      </w:tr>
      <w:tr w:rsidR="00E35DF4" w:rsidTr="00E35DF4">
        <w:trPr>
          <w:tblHeader/>
        </w:trPr>
        <w:tc>
          <w:tcPr>
            <w:tcW w:w="4430" w:type="dxa"/>
          </w:tcPr>
          <w:p w:rsidR="00E35DF4" w:rsidRPr="007872F9" w:rsidRDefault="00E35DF4" w:rsidP="00E35DF4">
            <w:r w:rsidRPr="007872F9">
              <w:rPr>
                <w:b/>
              </w:rPr>
              <w:t xml:space="preserve">P </w:t>
            </w:r>
            <w:r>
              <w:t>–</w:t>
            </w:r>
            <w:r w:rsidRPr="007872F9">
              <w:t xml:space="preserve"> </w:t>
            </w:r>
            <w:r>
              <w:t>Fator Antrópica</w:t>
            </w:r>
          </w:p>
        </w:tc>
        <w:tc>
          <w:tcPr>
            <w:tcW w:w="4431" w:type="dxa"/>
          </w:tcPr>
          <w:p w:rsidR="00E35DF4" w:rsidRDefault="00E35DF4" w:rsidP="00E35DF4">
            <w:pPr>
              <w:jc w:val="both"/>
            </w:pPr>
            <w:r>
              <w:t>Nas ONR o P é baseado na densidade populacional dos concelhos do continente (</w:t>
            </w:r>
            <w:proofErr w:type="spellStart"/>
            <w:r>
              <w:t>hab</w:t>
            </w:r>
            <w:proofErr w:type="spellEnd"/>
            <w:r>
              <w:t>/km</w:t>
            </w:r>
            <w:r w:rsidRPr="00FB7148">
              <w:rPr>
                <w:vertAlign w:val="superscript"/>
              </w:rPr>
              <w:t>2</w:t>
            </w:r>
            <w:r>
              <w:t xml:space="preserve">), obtida através dos dados do INE, quando no modelo de </w:t>
            </w:r>
            <w:proofErr w:type="spellStart"/>
            <w:r>
              <w:t>Wischmeier</w:t>
            </w:r>
            <w:proofErr w:type="spellEnd"/>
            <w:r>
              <w:t xml:space="preserve"> este fator está ligado à prática agrícola.</w:t>
            </w:r>
          </w:p>
          <w:p w:rsidR="00E35DF4" w:rsidRDefault="00E35DF4" w:rsidP="00E35DF4">
            <w:pPr>
              <w:jc w:val="both"/>
            </w:pPr>
            <w:r>
              <w:t xml:space="preserve">Um mesmo concelho pode ter densidades muito distintas, e o valor médio não traduzir a realidade do território. Do mesmo modo dois concelhos contíguos podem ter densidades muito diferentes, sendo que a utilização deste fator pode impedir a continuidade entre as respetivas REN, ao nível desta componente.  </w:t>
            </w:r>
          </w:p>
          <w:p w:rsidR="00E35DF4" w:rsidRDefault="00E35DF4" w:rsidP="00E35DF4">
            <w:pPr>
              <w:jc w:val="both"/>
            </w:pPr>
            <w:r>
              <w:t>Por outro lado, se P respeitar à prática agrícola, e considerando que esta é extremamente variável no tempo, pode não haver sempre coincidência entre os valores assumidos pelo fator P, no momento da delimitação da REN, e o período em que a carta está vigor.</w:t>
            </w:r>
          </w:p>
        </w:tc>
        <w:tc>
          <w:tcPr>
            <w:tcW w:w="4431" w:type="dxa"/>
          </w:tcPr>
          <w:p w:rsidR="00E35DF4" w:rsidRDefault="00E35DF4" w:rsidP="00E35DF4"/>
        </w:tc>
      </w:tr>
      <w:tr w:rsidR="00E35DF4" w:rsidTr="00E35DF4">
        <w:trPr>
          <w:tblHeader/>
        </w:trPr>
        <w:tc>
          <w:tcPr>
            <w:tcW w:w="4430" w:type="dxa"/>
          </w:tcPr>
          <w:p w:rsidR="00E35DF4" w:rsidRPr="007872F9" w:rsidRDefault="00E35DF4" w:rsidP="00E35DF4">
            <w:pPr>
              <w:rPr>
                <w:b/>
              </w:rPr>
            </w:pPr>
            <w:r>
              <w:rPr>
                <w:b/>
              </w:rPr>
              <w:t xml:space="preserve">Classificação do </w:t>
            </w:r>
            <w:proofErr w:type="spellStart"/>
            <w:r>
              <w:rPr>
                <w:b/>
              </w:rPr>
              <w:t>Pse</w:t>
            </w:r>
            <w:proofErr w:type="spellEnd"/>
            <w:r>
              <w:rPr>
                <w:b/>
              </w:rPr>
              <w:t xml:space="preserve"> – </w:t>
            </w:r>
            <w:r w:rsidRPr="003533CF">
              <w:t>Avaliação qualitativa da</w:t>
            </w:r>
            <w:r>
              <w:t xml:space="preserve"> p</w:t>
            </w:r>
            <w:r w:rsidRPr="003533CF">
              <w:t>erda de solo associada a um risco de erosão hídrica</w:t>
            </w:r>
            <w:r>
              <w:rPr>
                <w:b/>
              </w:rPr>
              <w:t xml:space="preserve"> </w:t>
            </w:r>
          </w:p>
        </w:tc>
        <w:tc>
          <w:tcPr>
            <w:tcW w:w="4431" w:type="dxa"/>
          </w:tcPr>
          <w:p w:rsidR="00E35DF4" w:rsidRDefault="00E35DF4" w:rsidP="00E35DF4">
            <w:pPr>
              <w:jc w:val="both"/>
            </w:pPr>
            <w:r>
              <w:t xml:space="preserve">Por vezes a avaliação qualitativa em três níveis – elevado, médio e baixo. </w:t>
            </w:r>
          </w:p>
          <w:p w:rsidR="00E35DF4" w:rsidRDefault="00E35DF4" w:rsidP="00E35DF4">
            <w:pPr>
              <w:spacing w:after="60" w:line="240" w:lineRule="auto"/>
              <w:rPr>
                <w:rFonts w:asciiTheme="minorHAnsi" w:hAnsiTheme="minorHAnsi"/>
                <w:color w:val="984806" w:themeColor="accent6" w:themeShade="80"/>
              </w:rPr>
            </w:pPr>
            <w:r>
              <w:t xml:space="preserve">O valor limite a partir do qual o </w:t>
            </w:r>
            <w:proofErr w:type="spellStart"/>
            <w:r>
              <w:t>Pse</w:t>
            </w:r>
            <w:proofErr w:type="spellEnd"/>
            <w:r>
              <w:t xml:space="preserve"> é considerado elevado </w:t>
            </w:r>
            <w:proofErr w:type="gramStart"/>
            <w:r>
              <w:t>(&gt;=</w:t>
            </w:r>
            <w:proofErr w:type="gramEnd"/>
            <w:r>
              <w:t xml:space="preserve"> a 55 </w:t>
            </w:r>
            <w:proofErr w:type="spellStart"/>
            <w:r>
              <w:t>ton</w:t>
            </w:r>
            <w:proofErr w:type="spellEnd"/>
            <w:r>
              <w:t>/</w:t>
            </w:r>
            <w:proofErr w:type="spellStart"/>
            <w:r>
              <w:t>ha</w:t>
            </w:r>
            <w:proofErr w:type="spellEnd"/>
            <w:r>
              <w:t xml:space="preserve">/ano), nem sempre é razoável para a realidade do território português, o que pode levar a  que a eficácia do regime não seja garantida, ou seja o recurso solo não esteja a ser protegido tendo em conta este critério. </w:t>
            </w:r>
            <w:r w:rsidRPr="00977C36">
              <w:rPr>
                <w:rFonts w:asciiTheme="minorHAnsi" w:hAnsiTheme="minorHAnsi"/>
                <w:color w:val="984806" w:themeColor="accent6" w:themeShade="80"/>
              </w:rPr>
              <w:t xml:space="preserve"> </w:t>
            </w:r>
          </w:p>
          <w:p w:rsidR="00E35DF4" w:rsidRDefault="00E35DF4" w:rsidP="00E35DF4">
            <w:pPr>
              <w:spacing w:after="60" w:line="240" w:lineRule="auto"/>
              <w:rPr>
                <w:rFonts w:asciiTheme="minorHAnsi" w:hAnsiTheme="minorHAnsi"/>
                <w:color w:val="984806" w:themeColor="accent6" w:themeShade="80"/>
              </w:rPr>
            </w:pPr>
          </w:p>
          <w:p w:rsidR="00E35DF4" w:rsidRPr="00977C36" w:rsidRDefault="00E35DF4" w:rsidP="00E35DF4">
            <w:pPr>
              <w:spacing w:after="60" w:line="240" w:lineRule="auto"/>
              <w:rPr>
                <w:rFonts w:asciiTheme="minorHAnsi" w:hAnsiTheme="minorHAnsi"/>
                <w:color w:val="984806" w:themeColor="accent6" w:themeShade="80"/>
              </w:rPr>
            </w:pPr>
            <w:r w:rsidRPr="00977C36">
              <w:rPr>
                <w:rFonts w:asciiTheme="minorHAnsi" w:hAnsiTheme="minorHAnsi"/>
                <w:color w:val="984806" w:themeColor="accent6" w:themeShade="80"/>
              </w:rPr>
              <w:t xml:space="preserve">O estudo e revisão da literatura de </w:t>
            </w:r>
            <w:proofErr w:type="spellStart"/>
            <w:r w:rsidRPr="00977C36">
              <w:rPr>
                <w:rFonts w:asciiTheme="minorHAnsi" w:hAnsiTheme="minorHAnsi"/>
                <w:color w:val="984806" w:themeColor="accent6" w:themeShade="80"/>
              </w:rPr>
              <w:t>Verheijen</w:t>
            </w:r>
            <w:proofErr w:type="spellEnd"/>
            <w:r w:rsidRPr="00977C36">
              <w:rPr>
                <w:rFonts w:asciiTheme="minorHAnsi" w:hAnsiTheme="minorHAnsi"/>
                <w:color w:val="984806" w:themeColor="accent6" w:themeShade="80"/>
              </w:rPr>
              <w:t xml:space="preserve"> </w:t>
            </w:r>
            <w:proofErr w:type="spellStart"/>
            <w:r w:rsidRPr="00977C36">
              <w:rPr>
                <w:rFonts w:asciiTheme="minorHAnsi" w:hAnsiTheme="minorHAnsi"/>
                <w:color w:val="984806" w:themeColor="accent6" w:themeShade="80"/>
              </w:rPr>
              <w:t>et</w:t>
            </w:r>
            <w:proofErr w:type="spellEnd"/>
            <w:r w:rsidRPr="00977C36">
              <w:rPr>
                <w:rFonts w:asciiTheme="minorHAnsi" w:hAnsiTheme="minorHAnsi"/>
                <w:color w:val="984806" w:themeColor="accent6" w:themeShade="80"/>
              </w:rPr>
              <w:t xml:space="preserve"> al. (2009), que aponta para taxas atuais de erosão do solo e limiares da designada “erosão do solo tolerável” na Europa, incluindo referências expressas a Portugal, muito inferiores ao valor da avaliação de risco elevado apontado na tabela da RCM nº 81/2012 de 3 de outubro, ou seja, muito inferiores ao valor de </w:t>
            </w:r>
            <w:proofErr w:type="spellStart"/>
            <w:proofErr w:type="gramStart"/>
            <w:r w:rsidRPr="00977C36">
              <w:rPr>
                <w:rFonts w:asciiTheme="minorHAnsi" w:hAnsiTheme="minorHAnsi"/>
                <w:color w:val="984806" w:themeColor="accent6" w:themeShade="80"/>
              </w:rPr>
              <w:t>Pse</w:t>
            </w:r>
            <w:proofErr w:type="spellEnd"/>
            <w:r w:rsidRPr="00977C36">
              <w:rPr>
                <w:rFonts w:asciiTheme="minorHAnsi" w:hAnsiTheme="minorHAnsi"/>
                <w:color w:val="984806" w:themeColor="accent6" w:themeShade="80"/>
              </w:rPr>
              <w:t xml:space="preserve"> &gt;</w:t>
            </w:r>
            <w:proofErr w:type="gramEnd"/>
            <w:r w:rsidRPr="00977C36">
              <w:rPr>
                <w:rFonts w:asciiTheme="minorHAnsi" w:hAnsiTheme="minorHAnsi"/>
                <w:color w:val="984806" w:themeColor="accent6" w:themeShade="80"/>
              </w:rPr>
              <w:t xml:space="preserve"> = 55 </w:t>
            </w:r>
            <w:proofErr w:type="spellStart"/>
            <w:r w:rsidRPr="00977C36">
              <w:rPr>
                <w:rFonts w:asciiTheme="minorHAnsi" w:hAnsiTheme="minorHAnsi"/>
                <w:color w:val="984806" w:themeColor="accent6" w:themeShade="80"/>
              </w:rPr>
              <w:t>ton</w:t>
            </w:r>
            <w:proofErr w:type="spellEnd"/>
            <w:r w:rsidRPr="00977C36">
              <w:rPr>
                <w:rFonts w:asciiTheme="minorHAnsi" w:hAnsiTheme="minorHAnsi"/>
                <w:color w:val="984806" w:themeColor="accent6" w:themeShade="80"/>
              </w:rPr>
              <w:t>/</w:t>
            </w:r>
            <w:proofErr w:type="spellStart"/>
            <w:r w:rsidRPr="00977C36">
              <w:rPr>
                <w:rFonts w:asciiTheme="minorHAnsi" w:hAnsiTheme="minorHAnsi"/>
                <w:color w:val="984806" w:themeColor="accent6" w:themeShade="80"/>
              </w:rPr>
              <w:t>ha.ano</w:t>
            </w:r>
            <w:proofErr w:type="spellEnd"/>
            <w:r w:rsidRPr="00977C36">
              <w:rPr>
                <w:rFonts w:asciiTheme="minorHAnsi" w:hAnsiTheme="minorHAnsi"/>
                <w:color w:val="984806" w:themeColor="accent6" w:themeShade="80"/>
              </w:rPr>
              <w:t>;</w:t>
            </w:r>
          </w:p>
          <w:p w:rsidR="00E35DF4" w:rsidRDefault="00E35DF4" w:rsidP="00E35DF4">
            <w:pPr>
              <w:jc w:val="both"/>
            </w:pPr>
          </w:p>
        </w:tc>
        <w:tc>
          <w:tcPr>
            <w:tcW w:w="4431" w:type="dxa"/>
          </w:tcPr>
          <w:p w:rsidR="00E35DF4" w:rsidRDefault="00E35DF4" w:rsidP="00E35DF4">
            <w:r>
              <w:t>A</w:t>
            </w:r>
            <w:r w:rsidRPr="00444FA8">
              <w:t xml:space="preserve"> CNREN </w:t>
            </w:r>
            <w:r>
              <w:t>recomendou em 20015 (ver recomendação técnica de 28.05.</w:t>
            </w:r>
            <w:proofErr w:type="gramStart"/>
            <w:r>
              <w:t>2015)  que</w:t>
            </w:r>
            <w:proofErr w:type="gramEnd"/>
            <w:r>
              <w:t xml:space="preserve"> </w:t>
            </w:r>
            <w:r w:rsidRPr="00444FA8">
              <w:t xml:space="preserve">a </w:t>
            </w:r>
            <w:r>
              <w:t>«(…)</w:t>
            </w:r>
            <w:r w:rsidRPr="00444FA8">
              <w:t xml:space="preserve">calibração do modelo quantos aos limiares tendo em conta a melhor informação disponível </w:t>
            </w:r>
            <w:r>
              <w:t xml:space="preserve">e as conclusões de trabalhos científicos e técnicos recentes e relevantes que apontam para a adoção de limiares de definição das áreas de elevado risco de erosão hídrica do solo abaixo do valor de </w:t>
            </w:r>
            <w:proofErr w:type="spellStart"/>
            <w:r>
              <w:t>Pse</w:t>
            </w:r>
            <w:proofErr w:type="spellEnd"/>
            <w:r>
              <w:t xml:space="preserve">&gt;=55 </w:t>
            </w:r>
            <w:proofErr w:type="spellStart"/>
            <w:r>
              <w:t>ton</w:t>
            </w:r>
            <w:proofErr w:type="spellEnd"/>
            <w:r>
              <w:t xml:space="preserve">/ </w:t>
            </w:r>
            <w:proofErr w:type="spellStart"/>
            <w:r>
              <w:t>ha.ano</w:t>
            </w:r>
            <w:proofErr w:type="spellEnd"/>
            <w:r>
              <w:rPr>
                <w:rStyle w:val="Refdecomentrio"/>
                <w:lang w:eastAsia="en-US"/>
              </w:rPr>
              <w:annotationRef/>
            </w:r>
            <w:r>
              <w:t>, de forma a conseguir-se uma maior aderência das áreas integradas na REN às características intrínsecas do território, conforme previsto nas OENR».</w:t>
            </w:r>
          </w:p>
          <w:p w:rsidR="00E35DF4" w:rsidRDefault="00E35DF4" w:rsidP="00E35DF4">
            <w:pPr>
              <w:spacing w:after="60" w:line="240" w:lineRule="auto"/>
              <w:rPr>
                <w:rFonts w:asciiTheme="minorHAnsi" w:hAnsiTheme="minorHAnsi"/>
                <w:color w:val="984806" w:themeColor="accent6" w:themeShade="80"/>
              </w:rPr>
            </w:pPr>
            <w:r w:rsidRPr="00977C36">
              <w:rPr>
                <w:rFonts w:asciiTheme="minorHAnsi" w:hAnsiTheme="minorHAnsi"/>
                <w:color w:val="984806" w:themeColor="accent6" w:themeShade="80"/>
              </w:rPr>
              <w:t xml:space="preserve">Os exercícios regionalizados produzidos pelas CCDR, designadamente o trabalho da CCDRLVT disponibilizado no Guia metodológico para a delimitação da Reserva Ecológica Nacional em Lisboa e Vale do Tejo, (Versão de Trabalho), datado de abril de 2015 e atualmente em consulta de entidades, que aponta para a integração na REN das “áreas com maior ou igual a 25 </w:t>
            </w:r>
            <w:proofErr w:type="spellStart"/>
            <w:r w:rsidRPr="00977C36">
              <w:rPr>
                <w:rFonts w:asciiTheme="minorHAnsi" w:hAnsiTheme="minorHAnsi"/>
                <w:color w:val="984806" w:themeColor="accent6" w:themeShade="80"/>
              </w:rPr>
              <w:t>ton</w:t>
            </w:r>
            <w:proofErr w:type="spellEnd"/>
            <w:r w:rsidRPr="00977C36">
              <w:rPr>
                <w:rFonts w:asciiTheme="minorHAnsi" w:hAnsiTheme="minorHAnsi"/>
                <w:color w:val="984806" w:themeColor="accent6" w:themeShade="80"/>
              </w:rPr>
              <w:t>/</w:t>
            </w:r>
            <w:proofErr w:type="spellStart"/>
            <w:r w:rsidRPr="00977C36">
              <w:rPr>
                <w:rFonts w:asciiTheme="minorHAnsi" w:hAnsiTheme="minorHAnsi"/>
                <w:color w:val="984806" w:themeColor="accent6" w:themeShade="80"/>
              </w:rPr>
              <w:t>ha.ano</w:t>
            </w:r>
            <w:proofErr w:type="spellEnd"/>
            <w:r w:rsidRPr="00977C36">
              <w:rPr>
                <w:rFonts w:asciiTheme="minorHAnsi" w:hAnsiTheme="minorHAnsi"/>
                <w:color w:val="984806" w:themeColor="accent6" w:themeShade="80"/>
              </w:rPr>
              <w:t>, bem como as que apresentem valores inferiores mas sejam necessárias à estabilidade e compacidade das anteriores”;</w:t>
            </w:r>
          </w:p>
          <w:p w:rsidR="00E35DF4" w:rsidRDefault="00E35DF4" w:rsidP="00E35DF4">
            <w:pPr>
              <w:spacing w:after="60" w:line="240" w:lineRule="auto"/>
              <w:rPr>
                <w:rFonts w:asciiTheme="minorHAnsi" w:hAnsiTheme="minorHAnsi"/>
                <w:color w:val="984806" w:themeColor="accent6" w:themeShade="80"/>
              </w:rPr>
            </w:pPr>
          </w:p>
          <w:p w:rsidR="00E35DF4" w:rsidRPr="00FB7148" w:rsidRDefault="00E35DF4" w:rsidP="00E35DF4">
            <w:pPr>
              <w:spacing w:after="60" w:line="240" w:lineRule="auto"/>
              <w:rPr>
                <w:highlight w:val="yellow"/>
              </w:rPr>
            </w:pPr>
            <w:r>
              <w:rPr>
                <w:rFonts w:asciiTheme="minorHAnsi" w:hAnsiTheme="minorHAnsi"/>
                <w:color w:val="984806" w:themeColor="accent6" w:themeShade="80"/>
              </w:rPr>
              <w:t xml:space="preserve">Os limites para o </w:t>
            </w:r>
            <w:proofErr w:type="spellStart"/>
            <w:r>
              <w:rPr>
                <w:rFonts w:asciiTheme="minorHAnsi" w:hAnsiTheme="minorHAnsi"/>
                <w:color w:val="984806" w:themeColor="accent6" w:themeShade="80"/>
              </w:rPr>
              <w:t>Pse</w:t>
            </w:r>
            <w:proofErr w:type="spellEnd"/>
            <w:r>
              <w:rPr>
                <w:rFonts w:asciiTheme="minorHAnsi" w:hAnsiTheme="minorHAnsi"/>
                <w:color w:val="984806" w:themeColor="accent6" w:themeShade="80"/>
              </w:rPr>
              <w:t xml:space="preserve"> devem ser ponderados tendo em conta o conhecimento empírico e científico existente sobre as características dos territórios que estão a ser avaliados (GM CCDR LVT) </w:t>
            </w:r>
          </w:p>
        </w:tc>
      </w:tr>
    </w:tbl>
    <w:p w:rsidR="00E35DF4" w:rsidRDefault="00E35DF4" w:rsidP="00A47FE7">
      <w:pPr>
        <w:pStyle w:val="Textodecomentrio"/>
      </w:pPr>
      <w:r>
        <w:rPr>
          <w:rStyle w:val="Refdecomentrio"/>
        </w:rPr>
        <w:annotationRef/>
      </w:r>
      <w:r>
        <w:t xml:space="preserve">Há que assumir quais são as unidades para fazer as conversões corretas. Note-se que o valor final do </w:t>
      </w:r>
      <w:proofErr w:type="spellStart"/>
      <w:r>
        <w:t>Pse</w:t>
      </w:r>
      <w:proofErr w:type="spellEnd"/>
      <w:r>
        <w:t xml:space="preserve"> publicado, para efeitos de classificação qualitativa, está em unidades </w:t>
      </w:r>
      <w:proofErr w:type="spellStart"/>
      <w:r>
        <w:t>ton</w:t>
      </w:r>
      <w:proofErr w:type="spellEnd"/>
      <w:r>
        <w:t>/</w:t>
      </w:r>
      <w:proofErr w:type="spellStart"/>
      <w:r>
        <w:t>ha</w:t>
      </w:r>
      <w:proofErr w:type="spellEnd"/>
      <w:r>
        <w:t>/ano</w:t>
      </w:r>
    </w:p>
    <w:p w:rsidR="00E35DF4" w:rsidRDefault="00E35DF4" w:rsidP="00A47FE7">
      <w:pPr>
        <w:pStyle w:val="Textodecomentrio"/>
      </w:pPr>
      <w:r>
        <w:t>A maioria da informação de base está em que sistema? O que é que é mais fácil para o utilizador?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593" w:rsidRDefault="00D24593" w:rsidP="00BC48DD">
      <w:pPr>
        <w:spacing w:after="0" w:line="240" w:lineRule="auto"/>
      </w:pPr>
      <w:r>
        <w:separator/>
      </w:r>
    </w:p>
  </w:endnote>
  <w:endnote w:type="continuationSeparator" w:id="0">
    <w:p w:rsidR="00D24593" w:rsidRDefault="00D24593" w:rsidP="00BC4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26282"/>
      <w:docPartObj>
        <w:docPartGallery w:val="Page Numbers (Bottom of Page)"/>
        <w:docPartUnique/>
      </w:docPartObj>
    </w:sdtPr>
    <w:sdtContent>
      <w:p w:rsidR="00E35DF4" w:rsidRDefault="00CB5153">
        <w:pPr>
          <w:pStyle w:val="Rodap"/>
          <w:jc w:val="right"/>
        </w:pPr>
        <w:fldSimple w:instr=" PAGE   \* MERGEFORMAT ">
          <w:r w:rsidR="00FF19D3">
            <w:rPr>
              <w:noProof/>
            </w:rPr>
            <w:t>7</w:t>
          </w:r>
        </w:fldSimple>
      </w:p>
    </w:sdtContent>
  </w:sdt>
  <w:p w:rsidR="00E35DF4" w:rsidRDefault="00E35D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593" w:rsidRDefault="00D24593" w:rsidP="00BC48DD">
      <w:pPr>
        <w:spacing w:after="0" w:line="240" w:lineRule="auto"/>
      </w:pPr>
      <w:r>
        <w:separator/>
      </w:r>
    </w:p>
  </w:footnote>
  <w:footnote w:type="continuationSeparator" w:id="0">
    <w:p w:rsidR="00D24593" w:rsidRDefault="00D24593" w:rsidP="00BC4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5F" w:rsidRDefault="005B735F">
    <w:pPr>
      <w:pStyle w:val="Cabealho"/>
    </w:pPr>
    <w:r>
      <w:t xml:space="preserve">Áreas de elevado risco de erosão hídrica do solo: principais dificuldades identificadas e soluções propostas </w:t>
    </w:r>
  </w:p>
  <w:p w:rsidR="0091279F" w:rsidRDefault="0091279F">
    <w:pPr>
      <w:pStyle w:val="Cabealho"/>
    </w:pPr>
    <w:r>
      <w:t>Versão 06.06.2016</w:t>
    </w:r>
  </w:p>
  <w:p w:rsidR="005B735F" w:rsidRDefault="005B735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24A54"/>
    <w:multiLevelType w:val="hybridMultilevel"/>
    <w:tmpl w:val="B7A2780C"/>
    <w:lvl w:ilvl="0" w:tplc="9DDA1AD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36B8E"/>
    <w:rsid w:val="00022551"/>
    <w:rsid w:val="00036554"/>
    <w:rsid w:val="00066482"/>
    <w:rsid w:val="00090EC6"/>
    <w:rsid w:val="000A2621"/>
    <w:rsid w:val="000A37D0"/>
    <w:rsid w:val="000B6C75"/>
    <w:rsid w:val="000D0D5F"/>
    <w:rsid w:val="000D3A43"/>
    <w:rsid w:val="000D7277"/>
    <w:rsid w:val="00114E8C"/>
    <w:rsid w:val="00140717"/>
    <w:rsid w:val="00144CC8"/>
    <w:rsid w:val="00166749"/>
    <w:rsid w:val="00171C74"/>
    <w:rsid w:val="00197B22"/>
    <w:rsid w:val="001D5EB4"/>
    <w:rsid w:val="001E5B82"/>
    <w:rsid w:val="001F04A5"/>
    <w:rsid w:val="001F4F6E"/>
    <w:rsid w:val="00212BDD"/>
    <w:rsid w:val="002358C8"/>
    <w:rsid w:val="00245A0F"/>
    <w:rsid w:val="00253174"/>
    <w:rsid w:val="00292B27"/>
    <w:rsid w:val="002A485D"/>
    <w:rsid w:val="002B1E8B"/>
    <w:rsid w:val="002B267D"/>
    <w:rsid w:val="002D09E4"/>
    <w:rsid w:val="002E2F2B"/>
    <w:rsid w:val="003030AE"/>
    <w:rsid w:val="0030596A"/>
    <w:rsid w:val="00345C00"/>
    <w:rsid w:val="00346DEA"/>
    <w:rsid w:val="003533CF"/>
    <w:rsid w:val="00366D0E"/>
    <w:rsid w:val="00383020"/>
    <w:rsid w:val="003C10DA"/>
    <w:rsid w:val="003C4150"/>
    <w:rsid w:val="003D3B48"/>
    <w:rsid w:val="003D4C16"/>
    <w:rsid w:val="004015ED"/>
    <w:rsid w:val="00412C25"/>
    <w:rsid w:val="0041394B"/>
    <w:rsid w:val="0043226C"/>
    <w:rsid w:val="00444FA8"/>
    <w:rsid w:val="00464A2D"/>
    <w:rsid w:val="0047339B"/>
    <w:rsid w:val="00475D59"/>
    <w:rsid w:val="00476F15"/>
    <w:rsid w:val="00492220"/>
    <w:rsid w:val="004B275E"/>
    <w:rsid w:val="004D52C9"/>
    <w:rsid w:val="004D73AC"/>
    <w:rsid w:val="004E22D7"/>
    <w:rsid w:val="00542669"/>
    <w:rsid w:val="00546C4C"/>
    <w:rsid w:val="00556A86"/>
    <w:rsid w:val="005B735F"/>
    <w:rsid w:val="005C0A51"/>
    <w:rsid w:val="005C719C"/>
    <w:rsid w:val="00600EDA"/>
    <w:rsid w:val="006304AD"/>
    <w:rsid w:val="00631A7D"/>
    <w:rsid w:val="00650F94"/>
    <w:rsid w:val="00661218"/>
    <w:rsid w:val="00667735"/>
    <w:rsid w:val="006809B9"/>
    <w:rsid w:val="0069452F"/>
    <w:rsid w:val="006A0761"/>
    <w:rsid w:val="006A6ED1"/>
    <w:rsid w:val="006B5966"/>
    <w:rsid w:val="006C3EB0"/>
    <w:rsid w:val="006F29FC"/>
    <w:rsid w:val="006F4FF6"/>
    <w:rsid w:val="00721D97"/>
    <w:rsid w:val="007317C1"/>
    <w:rsid w:val="00752DBA"/>
    <w:rsid w:val="007706C5"/>
    <w:rsid w:val="007A58AA"/>
    <w:rsid w:val="007B01EC"/>
    <w:rsid w:val="007B798A"/>
    <w:rsid w:val="007C0C06"/>
    <w:rsid w:val="007C64EE"/>
    <w:rsid w:val="007D2AFD"/>
    <w:rsid w:val="007E53D0"/>
    <w:rsid w:val="007E63EF"/>
    <w:rsid w:val="007F6F53"/>
    <w:rsid w:val="0080531A"/>
    <w:rsid w:val="00822181"/>
    <w:rsid w:val="008479FD"/>
    <w:rsid w:val="008574B0"/>
    <w:rsid w:val="0085787F"/>
    <w:rsid w:val="008A0EBD"/>
    <w:rsid w:val="008A55A2"/>
    <w:rsid w:val="008A7E51"/>
    <w:rsid w:val="008B6BF4"/>
    <w:rsid w:val="008C0967"/>
    <w:rsid w:val="008F4ED2"/>
    <w:rsid w:val="0091279F"/>
    <w:rsid w:val="00951A8C"/>
    <w:rsid w:val="0096714B"/>
    <w:rsid w:val="00982ED7"/>
    <w:rsid w:val="0098460A"/>
    <w:rsid w:val="00987D81"/>
    <w:rsid w:val="009B1DCA"/>
    <w:rsid w:val="009C151B"/>
    <w:rsid w:val="009F2ADB"/>
    <w:rsid w:val="00A15FF7"/>
    <w:rsid w:val="00A20A59"/>
    <w:rsid w:val="00A379F8"/>
    <w:rsid w:val="00A37BB4"/>
    <w:rsid w:val="00A47FE7"/>
    <w:rsid w:val="00A505D3"/>
    <w:rsid w:val="00A54774"/>
    <w:rsid w:val="00A55E8B"/>
    <w:rsid w:val="00A626BD"/>
    <w:rsid w:val="00A652E3"/>
    <w:rsid w:val="00AA4ED5"/>
    <w:rsid w:val="00AB436D"/>
    <w:rsid w:val="00AF63C7"/>
    <w:rsid w:val="00B16DCD"/>
    <w:rsid w:val="00B23371"/>
    <w:rsid w:val="00B24C13"/>
    <w:rsid w:val="00B34F97"/>
    <w:rsid w:val="00B3671D"/>
    <w:rsid w:val="00B479A3"/>
    <w:rsid w:val="00B71E73"/>
    <w:rsid w:val="00B97C28"/>
    <w:rsid w:val="00BB1BC2"/>
    <w:rsid w:val="00BC48DD"/>
    <w:rsid w:val="00BC72C7"/>
    <w:rsid w:val="00BD186E"/>
    <w:rsid w:val="00BF4B18"/>
    <w:rsid w:val="00BF6A00"/>
    <w:rsid w:val="00BF7D64"/>
    <w:rsid w:val="00C14A9E"/>
    <w:rsid w:val="00C45ECE"/>
    <w:rsid w:val="00C81FA8"/>
    <w:rsid w:val="00CA22B2"/>
    <w:rsid w:val="00CB5153"/>
    <w:rsid w:val="00CD5E88"/>
    <w:rsid w:val="00CF7000"/>
    <w:rsid w:val="00CF7C08"/>
    <w:rsid w:val="00D0291D"/>
    <w:rsid w:val="00D067BB"/>
    <w:rsid w:val="00D24593"/>
    <w:rsid w:val="00D26CBF"/>
    <w:rsid w:val="00D3219B"/>
    <w:rsid w:val="00D3527C"/>
    <w:rsid w:val="00D3657C"/>
    <w:rsid w:val="00D36B8E"/>
    <w:rsid w:val="00D62172"/>
    <w:rsid w:val="00D623BC"/>
    <w:rsid w:val="00D65417"/>
    <w:rsid w:val="00D669B9"/>
    <w:rsid w:val="00DD0DF6"/>
    <w:rsid w:val="00DF7581"/>
    <w:rsid w:val="00E024BE"/>
    <w:rsid w:val="00E12D60"/>
    <w:rsid w:val="00E135D2"/>
    <w:rsid w:val="00E13747"/>
    <w:rsid w:val="00E35DF4"/>
    <w:rsid w:val="00E37FB8"/>
    <w:rsid w:val="00E5265A"/>
    <w:rsid w:val="00E7397A"/>
    <w:rsid w:val="00E80742"/>
    <w:rsid w:val="00E8102A"/>
    <w:rsid w:val="00EB6355"/>
    <w:rsid w:val="00EB66C6"/>
    <w:rsid w:val="00ED206E"/>
    <w:rsid w:val="00ED3399"/>
    <w:rsid w:val="00ED3C9B"/>
    <w:rsid w:val="00EE4782"/>
    <w:rsid w:val="00EF135C"/>
    <w:rsid w:val="00F067EE"/>
    <w:rsid w:val="00F07CA9"/>
    <w:rsid w:val="00F175D3"/>
    <w:rsid w:val="00F20161"/>
    <w:rsid w:val="00F23C8D"/>
    <w:rsid w:val="00F245CA"/>
    <w:rsid w:val="00F2665D"/>
    <w:rsid w:val="00F820C4"/>
    <w:rsid w:val="00FA7654"/>
    <w:rsid w:val="00FB7148"/>
    <w:rsid w:val="00FC0548"/>
    <w:rsid w:val="00FD6B1E"/>
    <w:rsid w:val="00FE7F3F"/>
    <w:rsid w:val="00FF19D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8E"/>
    <w:pPr>
      <w:spacing w:after="200" w:line="276" w:lineRule="auto"/>
    </w:pPr>
    <w:rPr>
      <w:rFonts w:eastAsia="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D36B8E"/>
    <w:rPr>
      <w:rFonts w:eastAsia="Times New Roman"/>
      <w:sz w:val="20"/>
      <w:szCs w:val="20"/>
      <w:lang w:eastAsia="pt-P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Tipodeletrapredefinidodopargrafo"/>
    <w:uiPriority w:val="99"/>
    <w:semiHidden/>
    <w:unhideWhenUsed/>
    <w:rsid w:val="00D3527C"/>
    <w:rPr>
      <w:sz w:val="16"/>
      <w:szCs w:val="16"/>
    </w:rPr>
  </w:style>
  <w:style w:type="paragraph" w:styleId="Textodecomentrio">
    <w:name w:val="annotation text"/>
    <w:basedOn w:val="Normal"/>
    <w:link w:val="TextodecomentrioCarcter"/>
    <w:uiPriority w:val="99"/>
    <w:semiHidden/>
    <w:unhideWhenUsed/>
    <w:rsid w:val="00D3527C"/>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D3527C"/>
    <w:rPr>
      <w:rFonts w:eastAsia="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D3527C"/>
    <w:rPr>
      <w:b/>
      <w:bCs/>
    </w:rPr>
  </w:style>
  <w:style w:type="character" w:customStyle="1" w:styleId="AssuntodecomentrioCarcter">
    <w:name w:val="Assunto de comentário Carácter"/>
    <w:basedOn w:val="TextodecomentrioCarcter"/>
    <w:link w:val="Assuntodecomentrio"/>
    <w:uiPriority w:val="99"/>
    <w:semiHidden/>
    <w:rsid w:val="00D3527C"/>
    <w:rPr>
      <w:b/>
      <w:bCs/>
    </w:rPr>
  </w:style>
  <w:style w:type="paragraph" w:styleId="Textodebalo">
    <w:name w:val="Balloon Text"/>
    <w:basedOn w:val="Normal"/>
    <w:link w:val="TextodebaloCarcter"/>
    <w:uiPriority w:val="99"/>
    <w:semiHidden/>
    <w:unhideWhenUsed/>
    <w:rsid w:val="00D3527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3527C"/>
    <w:rPr>
      <w:rFonts w:ascii="Tahoma" w:eastAsia="Times New Roman" w:hAnsi="Tahoma" w:cs="Tahoma"/>
      <w:sz w:val="16"/>
      <w:szCs w:val="16"/>
    </w:rPr>
  </w:style>
  <w:style w:type="paragraph" w:styleId="Textodenotaderodap">
    <w:name w:val="footnote text"/>
    <w:basedOn w:val="Normal"/>
    <w:link w:val="TextodenotaderodapCarcter"/>
    <w:uiPriority w:val="99"/>
    <w:semiHidden/>
    <w:unhideWhenUsed/>
    <w:rsid w:val="00BC48D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BC48DD"/>
    <w:rPr>
      <w:rFonts w:eastAsia="Times New Roman"/>
      <w:sz w:val="20"/>
      <w:szCs w:val="20"/>
    </w:rPr>
  </w:style>
  <w:style w:type="character" w:styleId="Refdenotaderodap">
    <w:name w:val="footnote reference"/>
    <w:basedOn w:val="Tipodeletrapredefinidodopargrafo"/>
    <w:uiPriority w:val="99"/>
    <w:semiHidden/>
    <w:unhideWhenUsed/>
    <w:rsid w:val="00BC48DD"/>
    <w:rPr>
      <w:vertAlign w:val="superscript"/>
    </w:rPr>
  </w:style>
  <w:style w:type="paragraph" w:styleId="Cabealho">
    <w:name w:val="header"/>
    <w:basedOn w:val="Normal"/>
    <w:link w:val="CabealhoCarcter"/>
    <w:uiPriority w:val="99"/>
    <w:unhideWhenUsed/>
    <w:rsid w:val="00464A2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64A2D"/>
    <w:rPr>
      <w:rFonts w:eastAsia="Times New Roman"/>
    </w:rPr>
  </w:style>
  <w:style w:type="paragraph" w:styleId="Rodap">
    <w:name w:val="footer"/>
    <w:basedOn w:val="Normal"/>
    <w:link w:val="RodapCarcter"/>
    <w:uiPriority w:val="99"/>
    <w:unhideWhenUsed/>
    <w:rsid w:val="00464A2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64A2D"/>
    <w:rPr>
      <w:rFonts w:eastAsia="Times New Roman"/>
    </w:rPr>
  </w:style>
  <w:style w:type="paragraph" w:styleId="PargrafodaLista">
    <w:name w:val="List Paragraph"/>
    <w:basedOn w:val="Normal"/>
    <w:uiPriority w:val="34"/>
    <w:qFormat/>
    <w:rsid w:val="00DD0DF6"/>
    <w:pPr>
      <w:ind w:left="720"/>
      <w:contextualSpacing/>
    </w:pPr>
  </w:style>
  <w:style w:type="paragraph" w:styleId="Reviso">
    <w:name w:val="Revision"/>
    <w:hidden/>
    <w:uiPriority w:val="99"/>
    <w:semiHidden/>
    <w:rsid w:val="00D26CBF"/>
    <w:rPr>
      <w:rFonts w:eastAsia="Times New Roman"/>
    </w:rPr>
  </w:style>
</w:styles>
</file>

<file path=word/webSettings.xml><?xml version="1.0" encoding="utf-8"?>
<w:webSettings xmlns:r="http://schemas.openxmlformats.org/officeDocument/2006/relationships" xmlns:w="http://schemas.openxmlformats.org/wordprocessingml/2006/main">
  <w:divs>
    <w:div w:id="1302030758">
      <w:bodyDiv w:val="1"/>
      <w:marLeft w:val="0"/>
      <w:marRight w:val="0"/>
      <w:marTop w:val="0"/>
      <w:marBottom w:val="0"/>
      <w:divBdr>
        <w:top w:val="none" w:sz="0" w:space="0" w:color="auto"/>
        <w:left w:val="none" w:sz="0" w:space="0" w:color="auto"/>
        <w:bottom w:val="none" w:sz="0" w:space="0" w:color="auto"/>
        <w:right w:val="none" w:sz="0" w:space="0" w:color="auto"/>
      </w:divBdr>
    </w:div>
    <w:div w:id="18554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3E337-5700-4F5D-A783-D0E29B71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10</Pages>
  <Words>2058</Words>
  <Characters>11118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Afonso</dc:creator>
  <cp:keywords/>
  <dc:description/>
  <cp:lastModifiedBy>DGT</cp:lastModifiedBy>
  <cp:revision>47</cp:revision>
  <cp:lastPrinted>2016-06-21T10:41:00Z</cp:lastPrinted>
  <dcterms:created xsi:type="dcterms:W3CDTF">2016-06-02T10:52:00Z</dcterms:created>
  <dcterms:modified xsi:type="dcterms:W3CDTF">2016-06-21T12:08:00Z</dcterms:modified>
</cp:coreProperties>
</file>