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FB" w:rsidRDefault="00837CFB" w:rsidP="00837CFB">
      <w:pPr>
        <w:spacing w:after="0"/>
        <w:rPr>
          <w:b/>
          <w:sz w:val="44"/>
          <w:szCs w:val="44"/>
        </w:rPr>
      </w:pPr>
    </w:p>
    <w:p w:rsidR="00837CFB" w:rsidRDefault="00837CFB" w:rsidP="00837CFB">
      <w:pPr>
        <w:spacing w:after="0"/>
        <w:rPr>
          <w:b/>
          <w:sz w:val="44"/>
          <w:szCs w:val="44"/>
        </w:rPr>
      </w:pPr>
    </w:p>
    <w:p w:rsidR="00837CFB" w:rsidRDefault="00837CFB" w:rsidP="00837CFB">
      <w:pPr>
        <w:spacing w:after="0"/>
        <w:rPr>
          <w:b/>
          <w:sz w:val="44"/>
          <w:szCs w:val="44"/>
        </w:rPr>
      </w:pPr>
    </w:p>
    <w:p w:rsidR="00837CFB" w:rsidRDefault="00837CFB" w:rsidP="00837CFB">
      <w:pPr>
        <w:spacing w:after="0"/>
        <w:rPr>
          <w:b/>
          <w:sz w:val="44"/>
          <w:szCs w:val="44"/>
        </w:rPr>
      </w:pPr>
    </w:p>
    <w:p w:rsidR="00837CFB" w:rsidRDefault="00837CFB" w:rsidP="00837CFB">
      <w:pPr>
        <w:spacing w:after="0"/>
        <w:rPr>
          <w:b/>
          <w:sz w:val="44"/>
          <w:szCs w:val="44"/>
        </w:rPr>
      </w:pPr>
    </w:p>
    <w:p w:rsidR="00837CFB" w:rsidRDefault="00837CFB" w:rsidP="00837CFB">
      <w:pPr>
        <w:spacing w:after="0"/>
        <w:rPr>
          <w:b/>
          <w:sz w:val="44"/>
          <w:szCs w:val="44"/>
        </w:rPr>
      </w:pPr>
    </w:p>
    <w:p w:rsidR="00837CFB" w:rsidRPr="0047494B" w:rsidRDefault="00837CFB" w:rsidP="00837CFB">
      <w:pPr>
        <w:spacing w:after="0"/>
        <w:rPr>
          <w:b/>
          <w:sz w:val="44"/>
          <w:szCs w:val="44"/>
        </w:rPr>
      </w:pPr>
      <w:r>
        <w:rPr>
          <w:b/>
          <w:sz w:val="44"/>
          <w:szCs w:val="44"/>
        </w:rPr>
        <w:t>Reserva Ecológica Nacional</w:t>
      </w:r>
    </w:p>
    <w:p w:rsidR="00837CFB" w:rsidRDefault="00C0319A" w:rsidP="00837CFB">
      <w:pPr>
        <w:spacing w:after="0"/>
        <w:rPr>
          <w:b/>
          <w:sz w:val="32"/>
        </w:rPr>
      </w:pPr>
      <w:r>
        <w:rPr>
          <w:b/>
          <w:sz w:val="32"/>
        </w:rPr>
        <w:t>Avaliação</w:t>
      </w:r>
      <w:r w:rsidRPr="00C0319A">
        <w:rPr>
          <w:b/>
          <w:sz w:val="32"/>
        </w:rPr>
        <w:t xml:space="preserve"> </w:t>
      </w:r>
      <w:r w:rsidR="00AF6BD7">
        <w:rPr>
          <w:b/>
          <w:sz w:val="32"/>
        </w:rPr>
        <w:t>dos Critérios de</w:t>
      </w:r>
      <w:r w:rsidR="00074BF6">
        <w:rPr>
          <w:b/>
          <w:sz w:val="32"/>
        </w:rPr>
        <w:t xml:space="preserve"> Delimitação da REN</w:t>
      </w:r>
    </w:p>
    <w:p w:rsidR="00837CFB" w:rsidRDefault="00837CFB" w:rsidP="00837CFB">
      <w:pPr>
        <w:spacing w:after="0"/>
        <w:rPr>
          <w:b/>
          <w:sz w:val="28"/>
        </w:rPr>
      </w:pPr>
    </w:p>
    <w:p w:rsidR="00837CFB" w:rsidRDefault="00837CFB" w:rsidP="00837CFB">
      <w:pPr>
        <w:spacing w:after="0"/>
        <w:rPr>
          <w:b/>
          <w:sz w:val="32"/>
        </w:rPr>
      </w:pPr>
    </w:p>
    <w:p w:rsidR="00837CFB" w:rsidRDefault="00837CFB" w:rsidP="00837CFB">
      <w:pPr>
        <w:spacing w:after="0"/>
      </w:pPr>
    </w:p>
    <w:p w:rsidR="00837CFB" w:rsidRDefault="00837CFB" w:rsidP="00837CFB">
      <w:pPr>
        <w:spacing w:after="0"/>
      </w:pPr>
    </w:p>
    <w:p w:rsidR="00837CFB" w:rsidRDefault="00837CFB" w:rsidP="00837CFB">
      <w:pPr>
        <w:spacing w:after="0"/>
      </w:pPr>
    </w:p>
    <w:p w:rsidR="00837CFB" w:rsidRDefault="00837CFB" w:rsidP="00837CFB">
      <w:pPr>
        <w:spacing w:after="0"/>
      </w:pPr>
    </w:p>
    <w:p w:rsidR="00837CFB" w:rsidRDefault="00837CFB" w:rsidP="00837CFB">
      <w:pPr>
        <w:spacing w:after="0"/>
      </w:pPr>
    </w:p>
    <w:p w:rsidR="00837CFB" w:rsidRDefault="00837CFB" w:rsidP="00837CFB">
      <w:pPr>
        <w:spacing w:after="0"/>
      </w:pPr>
    </w:p>
    <w:p w:rsidR="00837CFB" w:rsidRDefault="00837CFB" w:rsidP="00837CFB">
      <w:pPr>
        <w:spacing w:after="0"/>
      </w:pPr>
    </w:p>
    <w:p w:rsidR="00837CFB" w:rsidRPr="009003DF" w:rsidRDefault="00837CFB" w:rsidP="00837CFB">
      <w:pPr>
        <w:spacing w:after="0"/>
        <w:rPr>
          <w:sz w:val="24"/>
        </w:rPr>
      </w:pPr>
    </w:p>
    <w:p w:rsidR="00837CFB" w:rsidRDefault="00837CFB" w:rsidP="00837CFB">
      <w:pPr>
        <w:spacing w:after="0"/>
        <w:rPr>
          <w:sz w:val="24"/>
        </w:rPr>
      </w:pPr>
      <w:r>
        <w:rPr>
          <w:sz w:val="24"/>
        </w:rPr>
        <w:t>abril de 2016</w:t>
      </w: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D6654B" w:rsidRDefault="00D6654B" w:rsidP="00837CFB">
      <w:pPr>
        <w:spacing w:after="0"/>
        <w:rPr>
          <w:sz w:val="24"/>
        </w:rPr>
      </w:pPr>
    </w:p>
    <w:p w:rsidR="0036120D" w:rsidRDefault="0036120D" w:rsidP="00837CFB">
      <w:pPr>
        <w:spacing w:after="0"/>
        <w:rPr>
          <w:sz w:val="24"/>
        </w:rPr>
        <w:sectPr w:rsidR="0036120D" w:rsidSect="00E5231D">
          <w:footerReference w:type="even" r:id="rId8"/>
          <w:type w:val="oddPage"/>
          <w:pgSz w:w="11906" w:h="16838"/>
          <w:pgMar w:top="1417" w:right="1701" w:bottom="1417" w:left="1701" w:header="708" w:footer="708" w:gutter="0"/>
          <w:cols w:space="708"/>
          <w:docGrid w:linePitch="360"/>
        </w:sectPr>
      </w:pPr>
    </w:p>
    <w:p w:rsidR="00294C1D" w:rsidRPr="006C169A" w:rsidRDefault="006C169A" w:rsidP="00F70947">
      <w:r w:rsidRPr="006C169A">
        <w:lastRenderedPageBreak/>
        <w:t>ÍNDICE</w:t>
      </w:r>
    </w:p>
    <w:p w:rsidR="00903E33" w:rsidRDefault="00A56719">
      <w:pPr>
        <w:pStyle w:val="ndice1"/>
        <w:tabs>
          <w:tab w:val="left" w:pos="440"/>
          <w:tab w:val="right" w:leader="dot" w:pos="8494"/>
        </w:tabs>
        <w:rPr>
          <w:rFonts w:asciiTheme="minorHAnsi" w:eastAsiaTheme="minorEastAsia" w:hAnsiTheme="minorHAnsi" w:cstheme="minorBidi"/>
          <w:noProof/>
          <w:lang w:eastAsia="pt-PT"/>
        </w:rPr>
      </w:pPr>
      <w:r>
        <w:rPr>
          <w:color w:val="000000" w:themeColor="text1"/>
        </w:rPr>
        <w:fldChar w:fldCharType="begin"/>
      </w:r>
      <w:r w:rsidR="00F70947">
        <w:rPr>
          <w:color w:val="000000" w:themeColor="text1"/>
        </w:rPr>
        <w:instrText xml:space="preserve"> TOC \h \z \t "Titulo1;1;Titulo 2;2" </w:instrText>
      </w:r>
      <w:r>
        <w:rPr>
          <w:color w:val="000000" w:themeColor="text1"/>
        </w:rPr>
        <w:fldChar w:fldCharType="separate"/>
      </w:r>
      <w:hyperlink w:anchor="_Toc451286471" w:history="1">
        <w:r w:rsidR="00903E33" w:rsidRPr="003F66C0">
          <w:rPr>
            <w:rStyle w:val="Hiperligao"/>
            <w:noProof/>
          </w:rPr>
          <w:t>1.</w:t>
        </w:r>
        <w:r w:rsidR="00903E33">
          <w:rPr>
            <w:rFonts w:asciiTheme="minorHAnsi" w:eastAsiaTheme="minorEastAsia" w:hAnsiTheme="minorHAnsi" w:cstheme="minorBidi"/>
            <w:noProof/>
            <w:lang w:eastAsia="pt-PT"/>
          </w:rPr>
          <w:tab/>
        </w:r>
        <w:r w:rsidR="00903E33" w:rsidRPr="003F66C0">
          <w:rPr>
            <w:rStyle w:val="Hiperligao"/>
            <w:noProof/>
          </w:rPr>
          <w:t>Introdução</w:t>
        </w:r>
        <w:r w:rsidR="00903E33">
          <w:rPr>
            <w:noProof/>
            <w:webHidden/>
          </w:rPr>
          <w:tab/>
        </w:r>
        <w:r>
          <w:rPr>
            <w:noProof/>
            <w:webHidden/>
          </w:rPr>
          <w:fldChar w:fldCharType="begin"/>
        </w:r>
        <w:r w:rsidR="00903E33">
          <w:rPr>
            <w:noProof/>
            <w:webHidden/>
          </w:rPr>
          <w:instrText xml:space="preserve"> PAGEREF _Toc451286471 \h </w:instrText>
        </w:r>
        <w:r>
          <w:rPr>
            <w:noProof/>
            <w:webHidden/>
          </w:rPr>
        </w:r>
        <w:r>
          <w:rPr>
            <w:noProof/>
            <w:webHidden/>
          </w:rPr>
          <w:fldChar w:fldCharType="separate"/>
        </w:r>
        <w:r w:rsidR="00265DC9">
          <w:rPr>
            <w:noProof/>
            <w:webHidden/>
          </w:rPr>
          <w:t>1</w:t>
        </w:r>
        <w:r>
          <w:rPr>
            <w:noProof/>
            <w:webHidden/>
          </w:rPr>
          <w:fldChar w:fldCharType="end"/>
        </w:r>
      </w:hyperlink>
    </w:p>
    <w:p w:rsidR="00903E33" w:rsidRDefault="00A56719">
      <w:pPr>
        <w:pStyle w:val="ndice1"/>
        <w:tabs>
          <w:tab w:val="left" w:pos="440"/>
          <w:tab w:val="right" w:leader="dot" w:pos="8494"/>
        </w:tabs>
        <w:rPr>
          <w:rFonts w:asciiTheme="minorHAnsi" w:eastAsiaTheme="minorEastAsia" w:hAnsiTheme="minorHAnsi" w:cstheme="minorBidi"/>
          <w:noProof/>
          <w:lang w:eastAsia="pt-PT"/>
        </w:rPr>
      </w:pPr>
      <w:hyperlink w:anchor="_Toc451286472" w:history="1">
        <w:r w:rsidR="00903E33" w:rsidRPr="003F66C0">
          <w:rPr>
            <w:rStyle w:val="Hiperligao"/>
            <w:noProof/>
          </w:rPr>
          <w:t>2.</w:t>
        </w:r>
        <w:r w:rsidR="00903E33">
          <w:rPr>
            <w:rFonts w:asciiTheme="minorHAnsi" w:eastAsiaTheme="minorEastAsia" w:hAnsiTheme="minorHAnsi" w:cstheme="minorBidi"/>
            <w:noProof/>
            <w:lang w:eastAsia="pt-PT"/>
          </w:rPr>
          <w:tab/>
        </w:r>
        <w:r w:rsidR="00903E33" w:rsidRPr="003F66C0">
          <w:rPr>
            <w:rStyle w:val="Hiperligao"/>
            <w:noProof/>
          </w:rPr>
          <w:t>Enquadramento do processo de delimitação da REN</w:t>
        </w:r>
        <w:r w:rsidR="00903E33">
          <w:rPr>
            <w:noProof/>
            <w:webHidden/>
          </w:rPr>
          <w:tab/>
        </w:r>
        <w:r>
          <w:rPr>
            <w:noProof/>
            <w:webHidden/>
          </w:rPr>
          <w:fldChar w:fldCharType="begin"/>
        </w:r>
        <w:r w:rsidR="00903E33">
          <w:rPr>
            <w:noProof/>
            <w:webHidden/>
          </w:rPr>
          <w:instrText xml:space="preserve"> PAGEREF _Toc451286472 \h </w:instrText>
        </w:r>
        <w:r>
          <w:rPr>
            <w:noProof/>
            <w:webHidden/>
          </w:rPr>
        </w:r>
        <w:r>
          <w:rPr>
            <w:noProof/>
            <w:webHidden/>
          </w:rPr>
          <w:fldChar w:fldCharType="separate"/>
        </w:r>
        <w:r w:rsidR="00265DC9">
          <w:rPr>
            <w:noProof/>
            <w:webHidden/>
          </w:rPr>
          <w:t>1</w:t>
        </w:r>
        <w:r>
          <w:rPr>
            <w:noProof/>
            <w:webHidden/>
          </w:rPr>
          <w:fldChar w:fldCharType="end"/>
        </w:r>
      </w:hyperlink>
    </w:p>
    <w:p w:rsidR="00903E33" w:rsidRDefault="00A56719">
      <w:pPr>
        <w:pStyle w:val="ndice1"/>
        <w:tabs>
          <w:tab w:val="left" w:pos="440"/>
          <w:tab w:val="right" w:leader="dot" w:pos="8494"/>
        </w:tabs>
        <w:rPr>
          <w:rFonts w:asciiTheme="minorHAnsi" w:eastAsiaTheme="minorEastAsia" w:hAnsiTheme="minorHAnsi" w:cstheme="minorBidi"/>
          <w:noProof/>
          <w:lang w:eastAsia="pt-PT"/>
        </w:rPr>
      </w:pPr>
      <w:hyperlink w:anchor="_Toc451286473" w:history="1">
        <w:r w:rsidR="00903E33" w:rsidRPr="003F66C0">
          <w:rPr>
            <w:rStyle w:val="Hiperligao"/>
            <w:noProof/>
          </w:rPr>
          <w:t>3.</w:t>
        </w:r>
        <w:r w:rsidR="00903E33">
          <w:rPr>
            <w:rFonts w:asciiTheme="minorHAnsi" w:eastAsiaTheme="minorEastAsia" w:hAnsiTheme="minorHAnsi" w:cstheme="minorBidi"/>
            <w:noProof/>
            <w:lang w:eastAsia="pt-PT"/>
          </w:rPr>
          <w:tab/>
        </w:r>
        <w:r w:rsidR="00903E33" w:rsidRPr="003F66C0">
          <w:rPr>
            <w:rStyle w:val="Hiperligao"/>
            <w:noProof/>
          </w:rPr>
          <w:t>Metodologia de trabalho</w:t>
        </w:r>
        <w:r w:rsidR="00903E33">
          <w:rPr>
            <w:noProof/>
            <w:webHidden/>
          </w:rPr>
          <w:tab/>
        </w:r>
        <w:r>
          <w:rPr>
            <w:noProof/>
            <w:webHidden/>
          </w:rPr>
          <w:fldChar w:fldCharType="begin"/>
        </w:r>
        <w:r w:rsidR="00903E33">
          <w:rPr>
            <w:noProof/>
            <w:webHidden/>
          </w:rPr>
          <w:instrText xml:space="preserve"> PAGEREF _Toc451286473 \h </w:instrText>
        </w:r>
        <w:r>
          <w:rPr>
            <w:noProof/>
            <w:webHidden/>
          </w:rPr>
        </w:r>
        <w:r>
          <w:rPr>
            <w:noProof/>
            <w:webHidden/>
          </w:rPr>
          <w:fldChar w:fldCharType="separate"/>
        </w:r>
        <w:r w:rsidR="00265DC9">
          <w:rPr>
            <w:noProof/>
            <w:webHidden/>
          </w:rPr>
          <w:t>1</w:t>
        </w:r>
        <w:r>
          <w:rPr>
            <w:noProof/>
            <w:webHidden/>
          </w:rPr>
          <w:fldChar w:fldCharType="end"/>
        </w:r>
      </w:hyperlink>
    </w:p>
    <w:p w:rsidR="00903E33" w:rsidRDefault="00A56719">
      <w:pPr>
        <w:pStyle w:val="ndice1"/>
        <w:tabs>
          <w:tab w:val="left" w:pos="440"/>
          <w:tab w:val="right" w:leader="dot" w:pos="8494"/>
        </w:tabs>
        <w:rPr>
          <w:rFonts w:asciiTheme="minorHAnsi" w:eastAsiaTheme="minorEastAsia" w:hAnsiTheme="minorHAnsi" w:cstheme="minorBidi"/>
          <w:noProof/>
          <w:lang w:eastAsia="pt-PT"/>
        </w:rPr>
      </w:pPr>
      <w:hyperlink w:anchor="_Toc451286474" w:history="1">
        <w:r w:rsidR="00903E33" w:rsidRPr="003F66C0">
          <w:rPr>
            <w:rStyle w:val="Hiperligao"/>
            <w:noProof/>
          </w:rPr>
          <w:t>4.</w:t>
        </w:r>
        <w:r w:rsidR="00903E33">
          <w:rPr>
            <w:rFonts w:asciiTheme="minorHAnsi" w:eastAsiaTheme="minorEastAsia" w:hAnsiTheme="minorHAnsi" w:cstheme="minorBidi"/>
            <w:noProof/>
            <w:lang w:eastAsia="pt-PT"/>
          </w:rPr>
          <w:tab/>
        </w:r>
        <w:r w:rsidR="00903E33" w:rsidRPr="003F66C0">
          <w:rPr>
            <w:rStyle w:val="Hiperligao"/>
            <w:noProof/>
          </w:rPr>
          <w:t>Ponto de Situação</w:t>
        </w:r>
        <w:r w:rsidR="00903E33">
          <w:rPr>
            <w:noProof/>
            <w:webHidden/>
          </w:rPr>
          <w:tab/>
        </w:r>
        <w:r>
          <w:rPr>
            <w:noProof/>
            <w:webHidden/>
          </w:rPr>
          <w:fldChar w:fldCharType="begin"/>
        </w:r>
        <w:r w:rsidR="00903E33">
          <w:rPr>
            <w:noProof/>
            <w:webHidden/>
          </w:rPr>
          <w:instrText xml:space="preserve"> PAGEREF _Toc451286474 \h </w:instrText>
        </w:r>
        <w:r>
          <w:rPr>
            <w:noProof/>
            <w:webHidden/>
          </w:rPr>
        </w:r>
        <w:r>
          <w:rPr>
            <w:noProof/>
            <w:webHidden/>
          </w:rPr>
          <w:fldChar w:fldCharType="separate"/>
        </w:r>
        <w:r w:rsidR="00265DC9">
          <w:rPr>
            <w:noProof/>
            <w:webHidden/>
          </w:rPr>
          <w:t>2</w:t>
        </w:r>
        <w:r>
          <w:rPr>
            <w:noProof/>
            <w:webHidden/>
          </w:rPr>
          <w:fldChar w:fldCharType="end"/>
        </w:r>
      </w:hyperlink>
    </w:p>
    <w:p w:rsidR="00903E33" w:rsidRDefault="00A56719">
      <w:pPr>
        <w:pStyle w:val="ndice2"/>
        <w:tabs>
          <w:tab w:val="left" w:pos="880"/>
          <w:tab w:val="right" w:leader="dot" w:pos="8494"/>
        </w:tabs>
        <w:rPr>
          <w:rFonts w:asciiTheme="minorHAnsi" w:eastAsiaTheme="minorEastAsia" w:hAnsiTheme="minorHAnsi" w:cstheme="minorBidi"/>
          <w:noProof/>
          <w:color w:val="auto"/>
          <w:lang w:eastAsia="pt-PT"/>
        </w:rPr>
      </w:pPr>
      <w:hyperlink w:anchor="_Toc451286475" w:history="1">
        <w:r w:rsidR="00903E33" w:rsidRPr="003F66C0">
          <w:rPr>
            <w:rStyle w:val="Hiperligao"/>
            <w:noProof/>
          </w:rPr>
          <w:t>4.1.</w:t>
        </w:r>
        <w:r w:rsidR="00903E33">
          <w:rPr>
            <w:rFonts w:asciiTheme="minorHAnsi" w:eastAsiaTheme="minorEastAsia" w:hAnsiTheme="minorHAnsi" w:cstheme="minorBidi"/>
            <w:noProof/>
            <w:color w:val="auto"/>
            <w:lang w:eastAsia="pt-PT"/>
          </w:rPr>
          <w:tab/>
        </w:r>
        <w:r w:rsidR="00903E33" w:rsidRPr="003F66C0">
          <w:rPr>
            <w:rStyle w:val="Hiperligao"/>
            <w:noProof/>
          </w:rPr>
          <w:t>Análise da forma como está a ser delimitada a REN</w:t>
        </w:r>
        <w:r w:rsidR="00903E33">
          <w:rPr>
            <w:noProof/>
            <w:webHidden/>
          </w:rPr>
          <w:tab/>
        </w:r>
        <w:r>
          <w:rPr>
            <w:noProof/>
            <w:webHidden/>
          </w:rPr>
          <w:fldChar w:fldCharType="begin"/>
        </w:r>
        <w:r w:rsidR="00903E33">
          <w:rPr>
            <w:noProof/>
            <w:webHidden/>
          </w:rPr>
          <w:instrText xml:space="preserve"> PAGEREF _Toc451286475 \h </w:instrText>
        </w:r>
        <w:r>
          <w:rPr>
            <w:noProof/>
            <w:webHidden/>
          </w:rPr>
        </w:r>
        <w:r>
          <w:rPr>
            <w:noProof/>
            <w:webHidden/>
          </w:rPr>
          <w:fldChar w:fldCharType="separate"/>
        </w:r>
        <w:r w:rsidR="00265DC9">
          <w:rPr>
            <w:noProof/>
            <w:webHidden/>
          </w:rPr>
          <w:t>2</w:t>
        </w:r>
        <w:r>
          <w:rPr>
            <w:noProof/>
            <w:webHidden/>
          </w:rPr>
          <w:fldChar w:fldCharType="end"/>
        </w:r>
      </w:hyperlink>
    </w:p>
    <w:p w:rsidR="00903E33" w:rsidRDefault="00A56719">
      <w:pPr>
        <w:pStyle w:val="ndice2"/>
        <w:tabs>
          <w:tab w:val="left" w:pos="880"/>
          <w:tab w:val="right" w:leader="dot" w:pos="8494"/>
        </w:tabs>
        <w:rPr>
          <w:rFonts w:asciiTheme="minorHAnsi" w:eastAsiaTheme="minorEastAsia" w:hAnsiTheme="minorHAnsi" w:cstheme="minorBidi"/>
          <w:noProof/>
          <w:color w:val="auto"/>
          <w:lang w:eastAsia="pt-PT"/>
        </w:rPr>
      </w:pPr>
      <w:hyperlink w:anchor="_Toc451286476" w:history="1">
        <w:r w:rsidR="00903E33" w:rsidRPr="003F66C0">
          <w:rPr>
            <w:rStyle w:val="Hiperligao"/>
            <w:noProof/>
          </w:rPr>
          <w:t>4.2.</w:t>
        </w:r>
        <w:r w:rsidR="00903E33">
          <w:rPr>
            <w:rFonts w:asciiTheme="minorHAnsi" w:eastAsiaTheme="minorEastAsia" w:hAnsiTheme="minorHAnsi" w:cstheme="minorBidi"/>
            <w:noProof/>
            <w:color w:val="auto"/>
            <w:lang w:eastAsia="pt-PT"/>
          </w:rPr>
          <w:tab/>
        </w:r>
        <w:r w:rsidR="00903E33" w:rsidRPr="003F66C0">
          <w:rPr>
            <w:rStyle w:val="Hiperligao"/>
            <w:noProof/>
          </w:rPr>
          <w:t>Identificação das principais dificuldades/divergências e das soluções adotadas</w:t>
        </w:r>
        <w:r w:rsidR="00903E33">
          <w:rPr>
            <w:noProof/>
            <w:webHidden/>
          </w:rPr>
          <w:tab/>
        </w:r>
        <w:r>
          <w:rPr>
            <w:noProof/>
            <w:webHidden/>
          </w:rPr>
          <w:fldChar w:fldCharType="begin"/>
        </w:r>
        <w:r w:rsidR="00903E33">
          <w:rPr>
            <w:noProof/>
            <w:webHidden/>
          </w:rPr>
          <w:instrText xml:space="preserve"> PAGEREF _Toc451286476 \h </w:instrText>
        </w:r>
        <w:r>
          <w:rPr>
            <w:noProof/>
            <w:webHidden/>
          </w:rPr>
        </w:r>
        <w:r>
          <w:rPr>
            <w:noProof/>
            <w:webHidden/>
          </w:rPr>
          <w:fldChar w:fldCharType="separate"/>
        </w:r>
        <w:r w:rsidR="00265DC9">
          <w:rPr>
            <w:noProof/>
            <w:webHidden/>
          </w:rPr>
          <w:t>19</w:t>
        </w:r>
        <w:r>
          <w:rPr>
            <w:noProof/>
            <w:webHidden/>
          </w:rPr>
          <w:fldChar w:fldCharType="end"/>
        </w:r>
      </w:hyperlink>
    </w:p>
    <w:p w:rsidR="00903E33" w:rsidRDefault="00A56719">
      <w:pPr>
        <w:pStyle w:val="ndice1"/>
        <w:tabs>
          <w:tab w:val="left" w:pos="440"/>
          <w:tab w:val="right" w:leader="dot" w:pos="8494"/>
        </w:tabs>
        <w:rPr>
          <w:rFonts w:asciiTheme="minorHAnsi" w:eastAsiaTheme="minorEastAsia" w:hAnsiTheme="minorHAnsi" w:cstheme="minorBidi"/>
          <w:noProof/>
          <w:lang w:eastAsia="pt-PT"/>
        </w:rPr>
      </w:pPr>
      <w:hyperlink w:anchor="_Toc451286477" w:history="1">
        <w:r w:rsidR="00903E33" w:rsidRPr="003F66C0">
          <w:rPr>
            <w:rStyle w:val="Hiperligao"/>
            <w:noProof/>
          </w:rPr>
          <w:t>5.</w:t>
        </w:r>
        <w:r w:rsidR="00903E33">
          <w:rPr>
            <w:rFonts w:asciiTheme="minorHAnsi" w:eastAsiaTheme="minorEastAsia" w:hAnsiTheme="minorHAnsi" w:cstheme="minorBidi"/>
            <w:noProof/>
            <w:lang w:eastAsia="pt-PT"/>
          </w:rPr>
          <w:tab/>
        </w:r>
        <w:r w:rsidR="00903E33" w:rsidRPr="003F66C0">
          <w:rPr>
            <w:rStyle w:val="Hiperligao"/>
            <w:noProof/>
          </w:rPr>
          <w:t>Apresentação de soluções</w:t>
        </w:r>
        <w:r w:rsidR="00903E33">
          <w:rPr>
            <w:noProof/>
            <w:webHidden/>
          </w:rPr>
          <w:tab/>
        </w:r>
        <w:r>
          <w:rPr>
            <w:noProof/>
            <w:webHidden/>
          </w:rPr>
          <w:fldChar w:fldCharType="begin"/>
        </w:r>
        <w:r w:rsidR="00903E33">
          <w:rPr>
            <w:noProof/>
            <w:webHidden/>
          </w:rPr>
          <w:instrText xml:space="preserve"> PAGEREF _Toc451286477 \h </w:instrText>
        </w:r>
        <w:r>
          <w:rPr>
            <w:noProof/>
            <w:webHidden/>
          </w:rPr>
        </w:r>
        <w:r>
          <w:rPr>
            <w:noProof/>
            <w:webHidden/>
          </w:rPr>
          <w:fldChar w:fldCharType="separate"/>
        </w:r>
        <w:r w:rsidR="00265DC9">
          <w:rPr>
            <w:noProof/>
            <w:webHidden/>
          </w:rPr>
          <w:t>29</w:t>
        </w:r>
        <w:r>
          <w:rPr>
            <w:noProof/>
            <w:webHidden/>
          </w:rPr>
          <w:fldChar w:fldCharType="end"/>
        </w:r>
      </w:hyperlink>
    </w:p>
    <w:p w:rsidR="006C169A" w:rsidRDefault="00A56719">
      <w:pPr>
        <w:rPr>
          <w:color w:val="2E74B5" w:themeColor="accent1" w:themeShade="BF"/>
        </w:rPr>
      </w:pPr>
      <w:r>
        <w:rPr>
          <w:color w:val="000000" w:themeColor="text1"/>
        </w:rPr>
        <w:fldChar w:fldCharType="end"/>
      </w:r>
    </w:p>
    <w:p w:rsidR="00F70947" w:rsidRPr="00F70947" w:rsidRDefault="00F70947" w:rsidP="00F70947">
      <w:r w:rsidRPr="00F70947">
        <w:t xml:space="preserve">ÍNDICE </w:t>
      </w:r>
      <w:r w:rsidR="003C18F6">
        <w:t xml:space="preserve">DE </w:t>
      </w:r>
      <w:r w:rsidR="00E61E70">
        <w:t>TABELAS</w:t>
      </w:r>
    </w:p>
    <w:p w:rsidR="00903E33" w:rsidRDefault="00A56719">
      <w:pPr>
        <w:pStyle w:val="ndicedeilustraes"/>
        <w:tabs>
          <w:tab w:val="right" w:leader="dot" w:pos="8494"/>
        </w:tabs>
        <w:rPr>
          <w:rFonts w:asciiTheme="minorHAnsi" w:eastAsiaTheme="minorEastAsia" w:hAnsiTheme="minorHAnsi" w:cstheme="minorBidi"/>
          <w:noProof/>
          <w:lang w:eastAsia="pt-PT"/>
        </w:rPr>
      </w:pPr>
      <w:r>
        <w:rPr>
          <w:b/>
          <w:color w:val="2E74B5" w:themeColor="accent1" w:themeShade="BF"/>
        </w:rPr>
        <w:fldChar w:fldCharType="begin"/>
      </w:r>
      <w:r w:rsidR="00046E4C">
        <w:rPr>
          <w:b/>
          <w:color w:val="2E74B5" w:themeColor="accent1" w:themeShade="BF"/>
        </w:rPr>
        <w:instrText xml:space="preserve"> TOC \h \z \c "Tabela" </w:instrText>
      </w:r>
      <w:r>
        <w:rPr>
          <w:b/>
          <w:color w:val="2E74B5" w:themeColor="accent1" w:themeShade="BF"/>
        </w:rPr>
        <w:fldChar w:fldCharType="separate"/>
      </w:r>
      <w:hyperlink w:anchor="_Toc451286483" w:history="1">
        <w:r w:rsidR="00903E33" w:rsidRPr="00F46FB6">
          <w:rPr>
            <w:rStyle w:val="Hiperligao"/>
            <w:noProof/>
          </w:rPr>
          <w:t>Tabela 1 – Sistematização da metodologia de delimitação dos diferentes sistemas, por CCDR</w:t>
        </w:r>
        <w:r w:rsidR="00903E33">
          <w:rPr>
            <w:noProof/>
            <w:webHidden/>
          </w:rPr>
          <w:tab/>
        </w:r>
        <w:r>
          <w:rPr>
            <w:noProof/>
            <w:webHidden/>
          </w:rPr>
          <w:fldChar w:fldCharType="begin"/>
        </w:r>
        <w:r w:rsidR="00903E33">
          <w:rPr>
            <w:noProof/>
            <w:webHidden/>
          </w:rPr>
          <w:instrText xml:space="preserve"> PAGEREF _Toc451286483 \h </w:instrText>
        </w:r>
        <w:r>
          <w:rPr>
            <w:noProof/>
            <w:webHidden/>
          </w:rPr>
        </w:r>
        <w:r>
          <w:rPr>
            <w:noProof/>
            <w:webHidden/>
          </w:rPr>
          <w:fldChar w:fldCharType="separate"/>
        </w:r>
        <w:r w:rsidR="00265DC9">
          <w:rPr>
            <w:noProof/>
            <w:webHidden/>
          </w:rPr>
          <w:t>5</w:t>
        </w:r>
        <w:r>
          <w:rPr>
            <w:noProof/>
            <w:webHidden/>
          </w:rPr>
          <w:fldChar w:fldCharType="end"/>
        </w:r>
      </w:hyperlink>
    </w:p>
    <w:p w:rsidR="00903E33" w:rsidRDefault="00A56719">
      <w:pPr>
        <w:pStyle w:val="ndicedeilustraes"/>
        <w:tabs>
          <w:tab w:val="right" w:leader="dot" w:pos="8494"/>
        </w:tabs>
        <w:rPr>
          <w:rFonts w:asciiTheme="minorHAnsi" w:eastAsiaTheme="minorEastAsia" w:hAnsiTheme="minorHAnsi" w:cstheme="minorBidi"/>
          <w:noProof/>
          <w:lang w:eastAsia="pt-PT"/>
        </w:rPr>
      </w:pPr>
      <w:hyperlink w:anchor="_Toc451286484" w:history="1">
        <w:r w:rsidR="00903E33" w:rsidRPr="00F46FB6">
          <w:rPr>
            <w:rStyle w:val="Hiperligao"/>
            <w:noProof/>
          </w:rPr>
          <w:t>Tabela 2 – Sistematização das</w:t>
        </w:r>
        <w:bookmarkStart w:id="0" w:name="_GoBack"/>
        <w:bookmarkEnd w:id="0"/>
        <w:r w:rsidR="00903E33" w:rsidRPr="00F46FB6">
          <w:rPr>
            <w:rStyle w:val="Hiperligao"/>
            <w:noProof/>
          </w:rPr>
          <w:t xml:space="preserve"> principais dificuldades de implementação do RJREN e Soluções encontradas, até à data</w:t>
        </w:r>
        <w:r w:rsidR="00903E33">
          <w:rPr>
            <w:noProof/>
            <w:webHidden/>
          </w:rPr>
          <w:tab/>
        </w:r>
        <w:r>
          <w:rPr>
            <w:noProof/>
            <w:webHidden/>
          </w:rPr>
          <w:fldChar w:fldCharType="begin"/>
        </w:r>
        <w:r w:rsidR="00903E33">
          <w:rPr>
            <w:noProof/>
            <w:webHidden/>
          </w:rPr>
          <w:instrText xml:space="preserve"> PAGEREF _Toc451286484 \h </w:instrText>
        </w:r>
        <w:r>
          <w:rPr>
            <w:noProof/>
            <w:webHidden/>
          </w:rPr>
        </w:r>
        <w:r>
          <w:rPr>
            <w:noProof/>
            <w:webHidden/>
          </w:rPr>
          <w:fldChar w:fldCharType="separate"/>
        </w:r>
        <w:r w:rsidR="00265DC9">
          <w:rPr>
            <w:noProof/>
            <w:webHidden/>
          </w:rPr>
          <w:t>19</w:t>
        </w:r>
        <w:r>
          <w:rPr>
            <w:noProof/>
            <w:webHidden/>
          </w:rPr>
          <w:fldChar w:fldCharType="end"/>
        </w:r>
      </w:hyperlink>
    </w:p>
    <w:p w:rsidR="00F70947" w:rsidRPr="006C169A" w:rsidRDefault="00A56719" w:rsidP="00F70947">
      <w:pPr>
        <w:rPr>
          <w:b/>
          <w:color w:val="2E74B5" w:themeColor="accent1" w:themeShade="BF"/>
        </w:rPr>
      </w:pPr>
      <w:r>
        <w:rPr>
          <w:b/>
          <w:color w:val="2E74B5" w:themeColor="accent1" w:themeShade="BF"/>
        </w:rPr>
        <w:fldChar w:fldCharType="end"/>
      </w:r>
    </w:p>
    <w:p w:rsidR="00837CFB" w:rsidRDefault="00837CFB"/>
    <w:p w:rsidR="006C169A" w:rsidRDefault="006C169A">
      <w:pPr>
        <w:sectPr w:rsidR="006C169A" w:rsidSect="00E5231D">
          <w:type w:val="oddPage"/>
          <w:pgSz w:w="11906" w:h="16838"/>
          <w:pgMar w:top="1417" w:right="1701" w:bottom="1417" w:left="1701" w:header="708" w:footer="708" w:gutter="0"/>
          <w:cols w:space="708"/>
          <w:docGrid w:linePitch="360"/>
        </w:sectPr>
      </w:pPr>
    </w:p>
    <w:p w:rsidR="00837CFB" w:rsidRDefault="00837CFB" w:rsidP="00837CFB">
      <w:pPr>
        <w:pStyle w:val="Titulo1"/>
      </w:pPr>
      <w:bookmarkStart w:id="1" w:name="_Toc451286471"/>
      <w:r>
        <w:lastRenderedPageBreak/>
        <w:t>Introdução</w:t>
      </w:r>
      <w:bookmarkEnd w:id="1"/>
    </w:p>
    <w:p w:rsidR="00C0319A" w:rsidRDefault="006C169A" w:rsidP="00822532">
      <w:r>
        <w:t>A presente proposta visa dar cumprimento à d</w:t>
      </w:r>
      <w:r w:rsidRPr="006C169A">
        <w:t xml:space="preserve">eterminação </w:t>
      </w:r>
      <w:r w:rsidR="003C18F6">
        <w:t xml:space="preserve">n.º </w:t>
      </w:r>
      <w:r w:rsidRPr="006C169A">
        <w:t>3 do Despacho</w:t>
      </w:r>
      <w:r>
        <w:t xml:space="preserve"> n.º</w:t>
      </w:r>
      <w:r w:rsidRPr="006C169A">
        <w:t xml:space="preserve"> 18/MAOTE/2015</w:t>
      </w:r>
      <w:r>
        <w:t xml:space="preserve">, </w:t>
      </w:r>
      <w:r w:rsidR="00C5157B">
        <w:t xml:space="preserve">através </w:t>
      </w:r>
      <w:r w:rsidR="003C18F6">
        <w:t xml:space="preserve">da concretização </w:t>
      </w:r>
      <w:r w:rsidR="00C5157B">
        <w:t>de uma avaliação dos</w:t>
      </w:r>
      <w:r w:rsidR="004A727C" w:rsidRPr="004A727C">
        <w:t xml:space="preserve"> resultados da aplicação do </w:t>
      </w:r>
      <w:r w:rsidR="00C5157B">
        <w:t>Regime Jurídico da Reserva Ecológica Nacional (</w:t>
      </w:r>
      <w:r w:rsidR="004A727C" w:rsidRPr="004A727C">
        <w:t>RJREN</w:t>
      </w:r>
      <w:r w:rsidR="00C5157B">
        <w:t>)</w:t>
      </w:r>
      <w:r w:rsidR="004A727C" w:rsidRPr="004A727C">
        <w:t xml:space="preserve"> em vigor, “…</w:t>
      </w:r>
      <w:r w:rsidR="004A727C" w:rsidRPr="006C169A">
        <w:rPr>
          <w:i/>
        </w:rPr>
        <w:t>em especial no que respeita aos critérios de delimitação dos vários tipos de realidades integrantes da REN</w:t>
      </w:r>
      <w:r w:rsidR="004A727C" w:rsidRPr="004A727C">
        <w:t>”</w:t>
      </w:r>
      <w:r w:rsidR="00822532">
        <w:t>, e tem como</w:t>
      </w:r>
      <w:r>
        <w:t xml:space="preserve"> </w:t>
      </w:r>
      <w:r w:rsidR="00732C5C">
        <w:t>objetivos proceder à</w:t>
      </w:r>
      <w:r>
        <w:t>:</w:t>
      </w:r>
    </w:p>
    <w:p w:rsidR="006C169A" w:rsidRDefault="006C169A" w:rsidP="006C169A">
      <w:pPr>
        <w:pStyle w:val="PargrafodaLista"/>
        <w:numPr>
          <w:ilvl w:val="0"/>
          <w:numId w:val="4"/>
        </w:numPr>
      </w:pPr>
      <w:r>
        <w:t>Analis</w:t>
      </w:r>
      <w:r w:rsidR="00732C5C">
        <w:t>e d</w:t>
      </w:r>
      <w:r>
        <w:t xml:space="preserve">a forma como a </w:t>
      </w:r>
      <w:r w:rsidR="00F44176">
        <w:t>Reserva Ecológica Nacional (</w:t>
      </w:r>
      <w:r>
        <w:t>REN</w:t>
      </w:r>
      <w:r w:rsidR="00F44176">
        <w:t>) est</w:t>
      </w:r>
      <w:r w:rsidR="002776DD">
        <w:t>á</w:t>
      </w:r>
      <w:r w:rsidR="00F44176">
        <w:t xml:space="preserve"> a ser delimitada em Portugal continental</w:t>
      </w:r>
      <w:r>
        <w:t>;</w:t>
      </w:r>
    </w:p>
    <w:p w:rsidR="006C169A" w:rsidRDefault="006C169A" w:rsidP="006C169A">
      <w:pPr>
        <w:pStyle w:val="PargrafodaLista"/>
        <w:numPr>
          <w:ilvl w:val="0"/>
          <w:numId w:val="4"/>
        </w:numPr>
      </w:pPr>
      <w:r>
        <w:t>Identifica</w:t>
      </w:r>
      <w:r w:rsidR="00732C5C">
        <w:t>ção d</w:t>
      </w:r>
      <w:r>
        <w:t>as princ</w:t>
      </w:r>
      <w:r w:rsidR="00732C5C">
        <w:t>ipais dificuldades/divergências;</w:t>
      </w:r>
    </w:p>
    <w:p w:rsidR="006C169A" w:rsidRDefault="006C169A" w:rsidP="006C169A">
      <w:pPr>
        <w:pStyle w:val="PargrafodaLista"/>
        <w:numPr>
          <w:ilvl w:val="0"/>
          <w:numId w:val="4"/>
        </w:numPr>
      </w:pPr>
      <w:r>
        <w:t>Apresenta</w:t>
      </w:r>
      <w:r w:rsidR="00732C5C">
        <w:t>ção de</w:t>
      </w:r>
      <w:r>
        <w:t xml:space="preserve"> soluções.</w:t>
      </w:r>
    </w:p>
    <w:p w:rsidR="00970B3A" w:rsidRDefault="00970B3A" w:rsidP="00970B3A"/>
    <w:p w:rsidR="00C5157B" w:rsidRDefault="00C5157B" w:rsidP="00C5157B">
      <w:pPr>
        <w:pStyle w:val="Titulo1"/>
      </w:pPr>
      <w:bookmarkStart w:id="2" w:name="_Toc451286472"/>
      <w:r>
        <w:t>E</w:t>
      </w:r>
      <w:r w:rsidRPr="00C5157B">
        <w:t>nquadrament</w:t>
      </w:r>
      <w:r w:rsidR="00732C5C">
        <w:t>o do processo de delimitação da</w:t>
      </w:r>
      <w:r w:rsidRPr="00C5157B">
        <w:t xml:space="preserve"> REN</w:t>
      </w:r>
      <w:bookmarkEnd w:id="2"/>
      <w:r w:rsidRPr="00C5157B">
        <w:t xml:space="preserve"> </w:t>
      </w:r>
    </w:p>
    <w:p w:rsidR="000036B4" w:rsidRDefault="000036B4" w:rsidP="00FA45BB">
      <w:r>
        <w:t xml:space="preserve">O </w:t>
      </w:r>
      <w:r w:rsidRPr="004B28C9">
        <w:t>Decreto-Lei n.º 166/2008, de 22 de agosto, alterado e republicado pelo Decreto-Lei n.º 239/2012, de 3 de outubro</w:t>
      </w:r>
      <w:r>
        <w:t xml:space="preserve">, que veio estabelece </w:t>
      </w:r>
      <w:r w:rsidRPr="000036B4">
        <w:t>o Regime Jurídico da Reserva Ecológica Nacional</w:t>
      </w:r>
      <w:r w:rsidR="009900C5">
        <w:t xml:space="preserve"> (</w:t>
      </w:r>
      <w:r w:rsidR="00F44176">
        <w:t>RJ</w:t>
      </w:r>
      <w:r w:rsidR="009900C5">
        <w:t>REN)</w:t>
      </w:r>
      <w:r>
        <w:t xml:space="preserve">, </w:t>
      </w:r>
      <w:r w:rsidR="009900C5">
        <w:t xml:space="preserve">prevê a elaboração de </w:t>
      </w:r>
      <w:r w:rsidR="009900C5" w:rsidRPr="009900C5">
        <w:t>orientações estratégicas de âmbito nacional</w:t>
      </w:r>
      <w:r w:rsidR="00FA45BB">
        <w:t xml:space="preserve"> e regional</w:t>
      </w:r>
      <w:r w:rsidR="00FA45BB" w:rsidRPr="00FA45BB">
        <w:t xml:space="preserve"> </w:t>
      </w:r>
      <w:r w:rsidR="00FA45BB" w:rsidRPr="004B28C9">
        <w:t>(OENR)</w:t>
      </w:r>
      <w:r w:rsidR="00FA45BB">
        <w:t>.</w:t>
      </w:r>
    </w:p>
    <w:p w:rsidR="00732C5C" w:rsidRDefault="00FA45BB" w:rsidP="009900C5">
      <w:r>
        <w:t>Com a publicação da</w:t>
      </w:r>
      <w:r w:rsidRPr="004B28C9">
        <w:t xml:space="preserve"> Resolução do Conselho de Ministros (RCM) nº 81/2012 de 3 de outubro, retificada pela Declaração de retificaç</w:t>
      </w:r>
      <w:r>
        <w:t>ão nº 71/2012 de 30 de novembro, é concretizada a</w:t>
      </w:r>
      <w:r w:rsidR="00F44176">
        <w:t xml:space="preserve"> </w:t>
      </w:r>
      <w:r w:rsidR="00F44176" w:rsidRPr="009900C5">
        <w:t xml:space="preserve">aprovação das </w:t>
      </w:r>
      <w:r w:rsidRPr="004B28C9">
        <w:t>OENR</w:t>
      </w:r>
      <w:r w:rsidRPr="009900C5">
        <w:t xml:space="preserve"> </w:t>
      </w:r>
      <w:r w:rsidR="00F44176">
        <w:t>para a delimitação da REN</w:t>
      </w:r>
      <w:r>
        <w:t>.</w:t>
      </w:r>
    </w:p>
    <w:p w:rsidR="004B28C9" w:rsidRPr="002C381E" w:rsidRDefault="00A27F06" w:rsidP="004B28C9">
      <w:r w:rsidRPr="002C381E">
        <w:t xml:space="preserve">Acresce, ainda, destacar a </w:t>
      </w:r>
      <w:r w:rsidR="00527C68" w:rsidRPr="002C381E">
        <w:t>elabora</w:t>
      </w:r>
      <w:r w:rsidRPr="002C381E">
        <w:t>ção</w:t>
      </w:r>
      <w:r w:rsidR="00527C68" w:rsidRPr="002C381E">
        <w:t xml:space="preserve"> pelas CCDR de Lisboa e Vale do Tejo </w:t>
      </w:r>
      <w:r w:rsidR="00822532" w:rsidRPr="002C381E">
        <w:t xml:space="preserve">(CCDR-LVT) </w:t>
      </w:r>
      <w:r w:rsidR="00527C68" w:rsidRPr="002C381E">
        <w:t>e do Algarve</w:t>
      </w:r>
      <w:r w:rsidR="00822532" w:rsidRPr="002C381E">
        <w:t xml:space="preserve"> (CCDR-</w:t>
      </w:r>
      <w:proofErr w:type="spellStart"/>
      <w:r w:rsidR="00822532" w:rsidRPr="002C381E">
        <w:t>Alg</w:t>
      </w:r>
      <w:proofErr w:type="spellEnd"/>
      <w:r w:rsidR="00822532" w:rsidRPr="002C381E">
        <w:t>.)</w:t>
      </w:r>
      <w:r w:rsidR="00527C68" w:rsidRPr="002C381E">
        <w:t xml:space="preserve"> </w:t>
      </w:r>
      <w:r w:rsidRPr="002C381E">
        <w:t xml:space="preserve">de </w:t>
      </w:r>
      <w:r w:rsidR="00527C68" w:rsidRPr="002C381E">
        <w:t>guias metodológicos para a delimitação da REN nas respetivas regiões.</w:t>
      </w:r>
    </w:p>
    <w:p w:rsidR="00527C68" w:rsidRPr="002C381E" w:rsidRDefault="00527C68" w:rsidP="004B28C9"/>
    <w:p w:rsidR="00837CFB" w:rsidRDefault="00837CFB" w:rsidP="00C5157B">
      <w:pPr>
        <w:pStyle w:val="Titulo1"/>
      </w:pPr>
      <w:bookmarkStart w:id="3" w:name="_Toc451286473"/>
      <w:r>
        <w:t>Metodologia</w:t>
      </w:r>
      <w:r w:rsidR="00D114F9">
        <w:t xml:space="preserve"> de trabalho</w:t>
      </w:r>
      <w:bookmarkEnd w:id="3"/>
    </w:p>
    <w:p w:rsidR="00D114F9" w:rsidRDefault="00D114F9" w:rsidP="00D114F9">
      <w:r>
        <w:t xml:space="preserve">Tendo em conta os objetivos da </w:t>
      </w:r>
      <w:r w:rsidRPr="00D114F9">
        <w:t>avalia</w:t>
      </w:r>
      <w:r>
        <w:t>ção a desenvolver foram definidas</w:t>
      </w:r>
      <w:r w:rsidR="00C5157B">
        <w:t>,</w:t>
      </w:r>
      <w:r>
        <w:t xml:space="preserve"> no seio do Grupo de Trabalho criado para o efeito no âmbito da </w:t>
      </w:r>
      <w:r w:rsidR="000B71E5">
        <w:t>Comissão Nacional do Território (</w:t>
      </w:r>
      <w:r>
        <w:t>CNT</w:t>
      </w:r>
      <w:r w:rsidR="000B71E5">
        <w:t>)</w:t>
      </w:r>
      <w:r>
        <w:t>, as seguintes etapas:</w:t>
      </w:r>
    </w:p>
    <w:p w:rsidR="00C5157B" w:rsidRDefault="00C5157B" w:rsidP="00C5157B">
      <w:pPr>
        <w:pStyle w:val="PargrafodaLista"/>
        <w:numPr>
          <w:ilvl w:val="0"/>
          <w:numId w:val="6"/>
        </w:numPr>
      </w:pPr>
      <w:r>
        <w:t>Elaboração de contributos relativos à</w:t>
      </w:r>
      <w:r w:rsidRPr="00C5157B">
        <w:t xml:space="preserve"> delimitação da REN, dificuldades</w:t>
      </w:r>
      <w:r>
        <w:t xml:space="preserve"> sentidas</w:t>
      </w:r>
      <w:r w:rsidRPr="00C5157B">
        <w:t>, soluções</w:t>
      </w:r>
      <w:r>
        <w:t>, orientações/recomendações</w:t>
      </w:r>
      <w:r w:rsidRPr="00C5157B">
        <w:t xml:space="preserve"> </w:t>
      </w:r>
      <w:r>
        <w:t>definidas, entre outros aspetos considerados pertinentes;</w:t>
      </w:r>
    </w:p>
    <w:p w:rsidR="00D114F9" w:rsidRDefault="00C5157B" w:rsidP="00C5157B">
      <w:pPr>
        <w:pStyle w:val="PargrafodaLista"/>
        <w:numPr>
          <w:ilvl w:val="0"/>
          <w:numId w:val="6"/>
        </w:numPr>
      </w:pPr>
      <w:r>
        <w:t xml:space="preserve">Compilação e ponderação dos contributos emitidos, incluindo o </w:t>
      </w:r>
      <w:r w:rsidR="00D114F9">
        <w:t xml:space="preserve">enquadramento </w:t>
      </w:r>
      <w:r>
        <w:t xml:space="preserve">do processo de delimitação das </w:t>
      </w:r>
      <w:r w:rsidR="00D114F9">
        <w:t>REN</w:t>
      </w:r>
      <w:r w:rsidR="006672D9">
        <w:t>,</w:t>
      </w:r>
      <w:r w:rsidR="00D114F9">
        <w:t xml:space="preserve"> </w:t>
      </w:r>
      <w:r>
        <w:t xml:space="preserve">a </w:t>
      </w:r>
      <w:r w:rsidR="00D114F9">
        <w:t xml:space="preserve">identificação das </w:t>
      </w:r>
      <w:r>
        <w:t xml:space="preserve">principais </w:t>
      </w:r>
      <w:r w:rsidR="00D114F9">
        <w:t>dificuldades sentidas</w:t>
      </w:r>
      <w:r w:rsidR="006672D9">
        <w:t xml:space="preserve"> e uma proposta de soluções encontradas;</w:t>
      </w:r>
    </w:p>
    <w:p w:rsidR="00FB5B75" w:rsidRDefault="00C5157B" w:rsidP="005102B7">
      <w:pPr>
        <w:pStyle w:val="PargrafodaLista"/>
        <w:numPr>
          <w:ilvl w:val="0"/>
          <w:numId w:val="6"/>
        </w:numPr>
      </w:pPr>
      <w:r>
        <w:t>Elaboração da proposta final</w:t>
      </w:r>
      <w:r w:rsidR="006672D9">
        <w:t>,</w:t>
      </w:r>
      <w:r>
        <w:t xml:space="preserve"> da avaliação realizada</w:t>
      </w:r>
      <w:r w:rsidR="006672D9">
        <w:t>,</w:t>
      </w:r>
      <w:r>
        <w:t xml:space="preserve"> e votação da mesma, em reunião do Grupo de Trabalho</w:t>
      </w:r>
      <w:r w:rsidR="006672D9">
        <w:t>.</w:t>
      </w:r>
    </w:p>
    <w:p w:rsidR="008C5D48" w:rsidRDefault="00BE43DD" w:rsidP="008C5D48">
      <w:pPr>
        <w:pStyle w:val="Titulo1"/>
      </w:pPr>
      <w:bookmarkStart w:id="4" w:name="_Toc451286474"/>
      <w:r>
        <w:lastRenderedPageBreak/>
        <w:t>Ponto de Situação</w:t>
      </w:r>
      <w:bookmarkEnd w:id="4"/>
    </w:p>
    <w:p w:rsidR="00C0319A" w:rsidRPr="00161FD5" w:rsidRDefault="00E5231D" w:rsidP="00161FD5">
      <w:pPr>
        <w:pStyle w:val="Titulo2"/>
      </w:pPr>
      <w:bookmarkStart w:id="5" w:name="_Toc451286475"/>
      <w:r>
        <w:t>Análise</w:t>
      </w:r>
      <w:r w:rsidR="0094293B">
        <w:t xml:space="preserve"> da forma como está a ser delimitada a</w:t>
      </w:r>
      <w:r w:rsidR="00161FD5" w:rsidRPr="00161FD5">
        <w:t xml:space="preserve"> REN</w:t>
      </w:r>
      <w:bookmarkEnd w:id="5"/>
    </w:p>
    <w:p w:rsidR="0062303B" w:rsidRDefault="00D1204F" w:rsidP="0098782F">
      <w:r>
        <w:t>A</w:t>
      </w:r>
      <w:r w:rsidRPr="00D1204F">
        <w:t xml:space="preserve"> delimitação </w:t>
      </w:r>
      <w:r w:rsidR="00AA7D77">
        <w:t>a nível</w:t>
      </w:r>
      <w:r w:rsidR="00AA7D77" w:rsidRPr="00D1204F">
        <w:t xml:space="preserve"> municipal </w:t>
      </w:r>
      <w:r w:rsidRPr="00D1204F">
        <w:t>das áreas integradas na REN</w:t>
      </w:r>
      <w:r w:rsidR="00AA7D77">
        <w:t xml:space="preserve"> é obrigatória</w:t>
      </w:r>
      <w:r w:rsidRPr="00D1204F">
        <w:t xml:space="preserve"> </w:t>
      </w:r>
      <w:r w:rsidR="00AA7D77">
        <w:t xml:space="preserve">e </w:t>
      </w:r>
      <w:r w:rsidRPr="00D1204F">
        <w:t>te</w:t>
      </w:r>
      <w:r>
        <w:t>m</w:t>
      </w:r>
      <w:r w:rsidRPr="00D1204F">
        <w:t xml:space="preserve"> por base </w:t>
      </w:r>
      <w:r>
        <w:t xml:space="preserve">o RJREN e </w:t>
      </w:r>
      <w:r w:rsidRPr="00D1204F">
        <w:t>as orientações estratégicas de âmbito nacional e regional</w:t>
      </w:r>
      <w:r w:rsidR="00CE367F">
        <w:t>. Esta delimitação é</w:t>
      </w:r>
      <w:r w:rsidR="00AA7D77" w:rsidRPr="00AA7D77">
        <w:t xml:space="preserve"> da responsabilidade da</w:t>
      </w:r>
      <w:r w:rsidR="00AA7D77">
        <w:t>s câmaras municipais,</w:t>
      </w:r>
      <w:r w:rsidR="00AA7D77" w:rsidRPr="00AA7D77">
        <w:t xml:space="preserve"> </w:t>
      </w:r>
      <w:r w:rsidR="0098782F">
        <w:t>“</w:t>
      </w:r>
      <w:r w:rsidR="0098782F" w:rsidRPr="0098782F">
        <w:rPr>
          <w:i/>
        </w:rPr>
        <w:t>devendo as comissões de coordenação e desenvolvimento regional e a Agência Portuguesa do Ambiente, I. P., fornecer</w:t>
      </w:r>
      <w:r w:rsidR="0098782F">
        <w:rPr>
          <w:i/>
        </w:rPr>
        <w:t>-</w:t>
      </w:r>
      <w:r w:rsidR="0098782F" w:rsidRPr="0098782F">
        <w:rPr>
          <w:i/>
        </w:rPr>
        <w:t>lhe a informação técnica necessária e competindo às primeiras assegurar o acompanhamento assíduo e continuado da elaboração técnica da proposta de delimitação pelo município</w:t>
      </w:r>
      <w:r w:rsidR="0098782F">
        <w:t>” (Decreto-Lei n.º 239/2012, de 2 de novembro)</w:t>
      </w:r>
      <w:r w:rsidR="0062303B">
        <w:t>.</w:t>
      </w:r>
    </w:p>
    <w:p w:rsidR="00471EE1" w:rsidRDefault="002C381E" w:rsidP="0062303B">
      <w:r>
        <w:t>As metodologias de</w:t>
      </w:r>
      <w:r w:rsidR="0098782F">
        <w:t xml:space="preserve"> delimitação d</w:t>
      </w:r>
      <w:r w:rsidR="00471EE1">
        <w:t>a REN</w:t>
      </w:r>
      <w:r w:rsidR="0098782F">
        <w:t>,</w:t>
      </w:r>
      <w:r w:rsidR="00471EE1">
        <w:t xml:space="preserve"> nas diferentes regi</w:t>
      </w:r>
      <w:r w:rsidR="00DC5FAD">
        <w:t>ões</w:t>
      </w:r>
      <w:r w:rsidR="0098782F">
        <w:t>,</w:t>
      </w:r>
      <w:r w:rsidR="00DC5FAD">
        <w:t xml:space="preserve"> </w:t>
      </w:r>
      <w:r>
        <w:t>são</w:t>
      </w:r>
      <w:r w:rsidR="00DC5FAD">
        <w:t xml:space="preserve"> </w:t>
      </w:r>
      <w:r w:rsidR="0098782F">
        <w:t>sistematizad</w:t>
      </w:r>
      <w:r>
        <w:t>as</w:t>
      </w:r>
      <w:r w:rsidR="0098782F">
        <w:t xml:space="preserve"> </w:t>
      </w:r>
      <w:r w:rsidR="00471EE1">
        <w:t xml:space="preserve">na tabela </w:t>
      </w:r>
      <w:r w:rsidR="00DC5FAD">
        <w:t xml:space="preserve">1, na qual são identificados </w:t>
      </w:r>
      <w:r w:rsidR="00471EE1">
        <w:t>alguns aspetos de pormenor</w:t>
      </w:r>
      <w:r>
        <w:t>ização</w:t>
      </w:r>
      <w:r w:rsidR="00471EE1">
        <w:t xml:space="preserve"> </w:t>
      </w:r>
      <w:r>
        <w:t xml:space="preserve">ou de detalhe da aplicação das referidas metodologias </w:t>
      </w:r>
      <w:r w:rsidR="00DC5FAD">
        <w:t>que t</w:t>
      </w:r>
      <w:r>
        <w:t>ê</w:t>
      </w:r>
      <w:r w:rsidR="00DC5FAD">
        <w:t>m vindo a ser adotad</w:t>
      </w:r>
      <w:r>
        <w:t>os</w:t>
      </w:r>
      <w:r w:rsidR="00DC5FAD">
        <w:t>,</w:t>
      </w:r>
      <w:r w:rsidR="00471EE1">
        <w:t xml:space="preserve"> por CCDR.</w:t>
      </w:r>
    </w:p>
    <w:p w:rsidR="00471EE1" w:rsidRDefault="00DC5FAD" w:rsidP="006672D9">
      <w:r>
        <w:t xml:space="preserve">Relativamente </w:t>
      </w:r>
      <w:r w:rsidR="004B3B9E">
        <w:t xml:space="preserve">ao procedimento de delimitação da REN adotado </w:t>
      </w:r>
      <w:r>
        <w:t>pela CCDR-LVT</w:t>
      </w:r>
      <w:r w:rsidR="00822532">
        <w:t xml:space="preserve"> e CCDR-Alg</w:t>
      </w:r>
      <w:r w:rsidR="002C381E">
        <w:t>arve</w:t>
      </w:r>
      <w:r w:rsidR="00822532">
        <w:t>.</w:t>
      </w:r>
      <w:r>
        <w:t>, uma vez que esta</w:t>
      </w:r>
      <w:r w:rsidR="00822532">
        <w:t>s</w:t>
      </w:r>
      <w:r>
        <w:t xml:space="preserve"> CCDR </w:t>
      </w:r>
      <w:r w:rsidR="00822532">
        <w:t xml:space="preserve">elaboraram </w:t>
      </w:r>
      <w:r w:rsidR="00822532" w:rsidRPr="00822532">
        <w:t>guias metodológicos para a delimitação da REN nas respetivas regiões</w:t>
      </w:r>
      <w:r>
        <w:t>, optou-se por efetuar uma remissão para o</w:t>
      </w:r>
      <w:r w:rsidR="00822532">
        <w:t>s</w:t>
      </w:r>
      <w:r>
        <w:t xml:space="preserve"> referido</w:t>
      </w:r>
      <w:r w:rsidR="00822532">
        <w:t>s</w:t>
      </w:r>
      <w:r>
        <w:t xml:space="preserve"> guia</w:t>
      </w:r>
      <w:r w:rsidR="00822532">
        <w:t>s</w:t>
      </w:r>
      <w:r>
        <w:t>, procedendo apenas à identificação dos aspetos mais pertinentes.</w:t>
      </w:r>
    </w:p>
    <w:p w:rsidR="002C381E" w:rsidRDefault="004B3B9E" w:rsidP="006672D9">
      <w:r>
        <w:t>No que concerne à metodologia que tem vindo a ser adotada n</w:t>
      </w:r>
      <w:r w:rsidR="003C18F6" w:rsidRPr="003C18F6">
        <w:t>a região do Alentejo</w:t>
      </w:r>
      <w:r>
        <w:t>, e em termos gerais</w:t>
      </w:r>
      <w:r w:rsidR="003C18F6" w:rsidRPr="003C18F6">
        <w:t>,</w:t>
      </w:r>
      <w:r>
        <w:t xml:space="preserve"> </w:t>
      </w:r>
      <w:r w:rsidR="00290FF3">
        <w:t>refere-se</w:t>
      </w:r>
      <w:r w:rsidR="002C381E">
        <w:t xml:space="preserve"> a informação prestada por aquela CCDR de que:</w:t>
      </w:r>
    </w:p>
    <w:p w:rsidR="006672D9" w:rsidRPr="00814932" w:rsidRDefault="002C381E" w:rsidP="006672D9">
      <w:r w:rsidRPr="00814932">
        <w:t>- A</w:t>
      </w:r>
      <w:r w:rsidR="006672D9" w:rsidRPr="00814932">
        <w:t xml:space="preserve">s delimitações da REN são desenvolvidas com base em cartografia </w:t>
      </w:r>
      <w:r w:rsidR="00E5231D" w:rsidRPr="00814932">
        <w:t>vetorial</w:t>
      </w:r>
      <w:r w:rsidR="006672D9" w:rsidRPr="00814932">
        <w:t xml:space="preserve"> </w:t>
      </w:r>
      <w:proofErr w:type="spellStart"/>
      <w:r w:rsidR="006672D9" w:rsidRPr="00814932">
        <w:t>georeferenciada</w:t>
      </w:r>
      <w:proofErr w:type="spellEnd"/>
      <w:r w:rsidR="006672D9" w:rsidRPr="00814932">
        <w:t xml:space="preserve"> e homologada para a altimetria à escala 1: 10 000 (1998 e 2006), </w:t>
      </w:r>
      <w:proofErr w:type="spellStart"/>
      <w:r w:rsidR="006672D9" w:rsidRPr="00814932">
        <w:t>ortofotomapas</w:t>
      </w:r>
      <w:proofErr w:type="spellEnd"/>
      <w:r w:rsidR="006672D9" w:rsidRPr="00814932">
        <w:t xml:space="preserve"> 1: 10 000 (IGP, 2010), tipo de solo e capacidade de uso do solo – 1/25 000, Carta Geológica – 1/25000 ou 1/50000, uso do solo (</w:t>
      </w:r>
      <w:r w:rsidR="00E5231D" w:rsidRPr="00814932">
        <w:t>atualização</w:t>
      </w:r>
      <w:r w:rsidR="006672D9" w:rsidRPr="00814932">
        <w:t xml:space="preserve"> de 2008) – 1/10000, Carta Administrativa Oficial de Portugal (IGP), e a Carta Militar 1:25 000. O uso da cartografia é apoiado por trabalho de campo e com recurso às potencialidades de gestão e manipulação de informação geográfica conferida pelos sistemas de informação geográfica (SIG). O sistema de coordenadas do resultado final é o ETRS89.</w:t>
      </w:r>
    </w:p>
    <w:p w:rsidR="006672D9" w:rsidRPr="00814932" w:rsidRDefault="002C381E" w:rsidP="006672D9">
      <w:r w:rsidRPr="00814932">
        <w:t xml:space="preserve">- </w:t>
      </w:r>
      <w:r w:rsidR="006672D9" w:rsidRPr="00814932">
        <w:t xml:space="preserve">Outro </w:t>
      </w:r>
      <w:r w:rsidR="00E5231D" w:rsidRPr="00814932">
        <w:t>aspeto</w:t>
      </w:r>
      <w:r w:rsidR="006672D9" w:rsidRPr="00814932">
        <w:t xml:space="preserve"> geral da delimitação dos diferentes sistemas de REN diz respeito ao resultado final da aplicação dos modelos e fórmulas e consiste em considerar, tendo em vista igualmente a gestão territorial, a unidade mínima cartográfica para a escala 1/25.000 de 1 hectare. Sempre que a delimitação geográfica das tipologias (e.g. áreas estratégicas de </w:t>
      </w:r>
      <w:r w:rsidR="00E5231D" w:rsidRPr="00814932">
        <w:t>proteção</w:t>
      </w:r>
      <w:r w:rsidR="006672D9" w:rsidRPr="00814932">
        <w:t xml:space="preserve"> e recarga dos aquíferos, áreas de elevado risco de erosão hídrica do solo e áreas de instabilidade vertentes) origina áreas de dimensão inferior, essas são sujeitas a um processo de generalização.</w:t>
      </w:r>
    </w:p>
    <w:p w:rsidR="006672D9" w:rsidRPr="00814932" w:rsidRDefault="00290FF3" w:rsidP="006672D9">
      <w:r w:rsidRPr="00814932">
        <w:t xml:space="preserve">- </w:t>
      </w:r>
      <w:r w:rsidR="006672D9" w:rsidRPr="00814932">
        <w:t>Sempre que tal foi possível, também se fez uso de informação digital/</w:t>
      </w:r>
      <w:r w:rsidR="00E5231D" w:rsidRPr="00814932">
        <w:t>vetorial</w:t>
      </w:r>
      <w:r w:rsidR="006672D9" w:rsidRPr="00814932">
        <w:t xml:space="preserve"> contida nos Plano</w:t>
      </w:r>
      <w:r w:rsidR="00822532" w:rsidRPr="00814932">
        <w:t>s</w:t>
      </w:r>
      <w:r w:rsidR="006672D9" w:rsidRPr="00814932">
        <w:t xml:space="preserve"> Especiais, por ex., o Plano de Ordenamento da Reserva Natural das Lagoas de Santo André e da Sancha, no caso da delimitação dos sistemas praia e sapal ou o Plano de Ordenamento da Reserva Natural do Estuário do Sado, no caso do sistema sapal.</w:t>
      </w:r>
    </w:p>
    <w:p w:rsidR="006672D9" w:rsidRPr="00814932" w:rsidRDefault="00290FF3" w:rsidP="006672D9">
      <w:r w:rsidRPr="00814932">
        <w:lastRenderedPageBreak/>
        <w:t xml:space="preserve">- </w:t>
      </w:r>
      <w:r w:rsidR="006672D9" w:rsidRPr="00814932">
        <w:t xml:space="preserve">Neste procedimento há que incluir a articulação com as opções de planeamento municipal, pelo que as câmaras municipais acompanham todo o processo de delimitação desde o início (mesmo quando são equipas externas a </w:t>
      </w:r>
      <w:r w:rsidR="00E5231D" w:rsidRPr="00814932">
        <w:t>efetuar</w:t>
      </w:r>
      <w:r w:rsidR="006672D9" w:rsidRPr="00814932">
        <w:t xml:space="preserve"> o trabalho) e a coesão da delimitação na escala regional, papel a cargo da CCDR.</w:t>
      </w:r>
    </w:p>
    <w:p w:rsidR="006672D9" w:rsidRPr="00814932" w:rsidRDefault="00290FF3" w:rsidP="006672D9">
      <w:r w:rsidRPr="00814932">
        <w:t xml:space="preserve">- </w:t>
      </w:r>
      <w:r w:rsidR="006672D9" w:rsidRPr="00814932">
        <w:t xml:space="preserve">No que se refere à garantia de uma delimitação que assegure a coesão e continuidade dos sistemas que integram a REN e que assuma um carácter transversal a todo o território municipal e regional tem sido fundamental a opção das Comunidades Intermunicipais do Alentejo que, à escala NUT3, têm desenvolvido o trabalho de delimitação desta condicionante, facilitando também a tarefa às autarquias e </w:t>
      </w:r>
      <w:r w:rsidR="00E5231D" w:rsidRPr="00814932">
        <w:t>otimizando</w:t>
      </w:r>
      <w:r w:rsidR="006672D9" w:rsidRPr="00814932">
        <w:t xml:space="preserve"> meios e custos do procedimento.</w:t>
      </w:r>
    </w:p>
    <w:p w:rsidR="009140F9" w:rsidRPr="00814932" w:rsidRDefault="009140F9" w:rsidP="00270312">
      <w:pPr>
        <w:pStyle w:val="Legenda"/>
        <w:jc w:val="center"/>
        <w:rPr>
          <w:i w:val="0"/>
          <w:color w:val="auto"/>
          <w:sz w:val="22"/>
          <w:szCs w:val="22"/>
        </w:rPr>
      </w:pPr>
    </w:p>
    <w:p w:rsidR="0036120D" w:rsidRDefault="0036120D" w:rsidP="0036120D"/>
    <w:p w:rsidR="0036120D" w:rsidRDefault="0036120D" w:rsidP="0036120D"/>
    <w:p w:rsidR="0036120D" w:rsidRDefault="0036120D" w:rsidP="0036120D"/>
    <w:p w:rsidR="0036120D" w:rsidRDefault="0036120D" w:rsidP="0036120D"/>
    <w:p w:rsidR="0036120D" w:rsidRDefault="0036120D" w:rsidP="0036120D"/>
    <w:p w:rsidR="0036120D" w:rsidRDefault="0036120D" w:rsidP="0036120D"/>
    <w:p w:rsidR="0036120D" w:rsidRPr="0036120D" w:rsidRDefault="0036120D" w:rsidP="0036120D"/>
    <w:p w:rsidR="00471EE1" w:rsidRPr="00471EE1" w:rsidRDefault="00471EE1" w:rsidP="00471EE1">
      <w:pPr>
        <w:sectPr w:rsidR="00471EE1" w:rsidRPr="00471EE1" w:rsidSect="00D6654B">
          <w:headerReference w:type="default" r:id="rId9"/>
          <w:footerReference w:type="default" r:id="rId10"/>
          <w:pgSz w:w="11907" w:h="16839" w:code="9"/>
          <w:pgMar w:top="1417" w:right="1701" w:bottom="1417" w:left="1701" w:header="708" w:footer="708" w:gutter="0"/>
          <w:pgNumType w:start="1"/>
          <w:cols w:space="708"/>
          <w:docGrid w:linePitch="360"/>
        </w:sectPr>
      </w:pPr>
    </w:p>
    <w:p w:rsidR="003C18F6" w:rsidRPr="00E61E70" w:rsidRDefault="00E61E70" w:rsidP="00E61E70">
      <w:pPr>
        <w:pStyle w:val="Legenda"/>
        <w:jc w:val="center"/>
        <w:rPr>
          <w:i w:val="0"/>
          <w:sz w:val="22"/>
          <w:szCs w:val="22"/>
        </w:rPr>
      </w:pPr>
      <w:bookmarkStart w:id="6" w:name="_Toc451286483"/>
      <w:r w:rsidRPr="00E61E70">
        <w:rPr>
          <w:i w:val="0"/>
          <w:sz w:val="22"/>
          <w:szCs w:val="22"/>
        </w:rPr>
        <w:lastRenderedPageBreak/>
        <w:t xml:space="preserve">Tabela </w:t>
      </w:r>
      <w:r w:rsidR="00A56719" w:rsidRPr="00E61E70">
        <w:rPr>
          <w:i w:val="0"/>
          <w:sz w:val="22"/>
          <w:szCs w:val="22"/>
        </w:rPr>
        <w:fldChar w:fldCharType="begin"/>
      </w:r>
      <w:r w:rsidRPr="00E61E70">
        <w:rPr>
          <w:i w:val="0"/>
          <w:sz w:val="22"/>
          <w:szCs w:val="22"/>
        </w:rPr>
        <w:instrText xml:space="preserve"> SEQ Tabela \* ARABIC </w:instrText>
      </w:r>
      <w:r w:rsidR="00A56719" w:rsidRPr="00E61E70">
        <w:rPr>
          <w:i w:val="0"/>
          <w:sz w:val="22"/>
          <w:szCs w:val="22"/>
        </w:rPr>
        <w:fldChar w:fldCharType="separate"/>
      </w:r>
      <w:r w:rsidR="00265DC9">
        <w:rPr>
          <w:i w:val="0"/>
          <w:noProof/>
          <w:sz w:val="22"/>
          <w:szCs w:val="22"/>
        </w:rPr>
        <w:t>1</w:t>
      </w:r>
      <w:r w:rsidR="00A56719" w:rsidRPr="00E61E70">
        <w:rPr>
          <w:i w:val="0"/>
          <w:sz w:val="22"/>
          <w:szCs w:val="22"/>
        </w:rPr>
        <w:fldChar w:fldCharType="end"/>
      </w:r>
      <w:r w:rsidR="003C18F6">
        <w:rPr>
          <w:i w:val="0"/>
          <w:sz w:val="22"/>
          <w:szCs w:val="22"/>
        </w:rPr>
        <w:t xml:space="preserve"> </w:t>
      </w:r>
      <w:r w:rsidR="003C18F6" w:rsidRPr="00F70947">
        <w:rPr>
          <w:i w:val="0"/>
          <w:sz w:val="22"/>
          <w:szCs w:val="22"/>
        </w:rPr>
        <w:t>– Sistematização da</w:t>
      </w:r>
      <w:r w:rsidR="003C18F6" w:rsidRPr="00E61E70">
        <w:rPr>
          <w:i w:val="0"/>
          <w:sz w:val="22"/>
          <w:szCs w:val="22"/>
        </w:rPr>
        <w:t xml:space="preserve"> </w:t>
      </w:r>
      <w:r w:rsidR="003C18F6" w:rsidRPr="00270312">
        <w:rPr>
          <w:i w:val="0"/>
          <w:sz w:val="22"/>
          <w:szCs w:val="22"/>
        </w:rPr>
        <w:t>metodologia de delimitação dos diferentes sistemas</w:t>
      </w:r>
      <w:r w:rsidR="003C18F6">
        <w:rPr>
          <w:i w:val="0"/>
          <w:sz w:val="22"/>
          <w:szCs w:val="22"/>
        </w:rPr>
        <w:t>, por CCDR</w:t>
      </w:r>
      <w:bookmarkEnd w:id="6"/>
    </w:p>
    <w:tbl>
      <w:tblPr>
        <w:tblStyle w:val="Tabelacomgrelha"/>
        <w:tblW w:w="22557" w:type="dxa"/>
        <w:tblLayout w:type="fixed"/>
        <w:tblLook w:val="04A0"/>
      </w:tblPr>
      <w:tblGrid>
        <w:gridCol w:w="2007"/>
        <w:gridCol w:w="4110"/>
        <w:gridCol w:w="4110"/>
        <w:gridCol w:w="4110"/>
        <w:gridCol w:w="4110"/>
        <w:gridCol w:w="4110"/>
      </w:tblGrid>
      <w:tr w:rsidR="00270312" w:rsidRPr="00C138AF" w:rsidTr="00A8557F">
        <w:trPr>
          <w:trHeight w:val="283"/>
          <w:tblHeader/>
        </w:trPr>
        <w:tc>
          <w:tcPr>
            <w:tcW w:w="2007" w:type="dxa"/>
            <w:vMerge w:val="restart"/>
            <w:shd w:val="clear" w:color="auto" w:fill="A6A6A6" w:themeFill="background1" w:themeFillShade="A6"/>
            <w:vAlign w:val="center"/>
          </w:tcPr>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TIPOLOGIA DE ÁREAS INTEGRADAS NA REN</w:t>
            </w:r>
          </w:p>
        </w:tc>
        <w:tc>
          <w:tcPr>
            <w:tcW w:w="20550" w:type="dxa"/>
            <w:gridSpan w:val="5"/>
            <w:shd w:val="clear" w:color="auto" w:fill="A6A6A6" w:themeFill="background1" w:themeFillShade="A6"/>
            <w:vAlign w:val="center"/>
          </w:tcPr>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PROCEDIMENTO DE DELIMITAÇÃO</w:t>
            </w:r>
          </w:p>
        </w:tc>
      </w:tr>
      <w:tr w:rsidR="00270312" w:rsidRPr="00C138AF" w:rsidTr="00A8557F">
        <w:trPr>
          <w:trHeight w:val="283"/>
          <w:tblHeader/>
        </w:trPr>
        <w:tc>
          <w:tcPr>
            <w:tcW w:w="2007" w:type="dxa"/>
            <w:vMerge/>
            <w:shd w:val="clear" w:color="auto" w:fill="A6A6A6" w:themeFill="background1" w:themeFillShade="A6"/>
            <w:vAlign w:val="center"/>
          </w:tcPr>
          <w:p w:rsidR="00270312" w:rsidRPr="00C138AF" w:rsidRDefault="00270312" w:rsidP="00282B60">
            <w:pPr>
              <w:spacing w:after="0" w:line="240" w:lineRule="auto"/>
              <w:jc w:val="center"/>
              <w:rPr>
                <w:rFonts w:asciiTheme="minorHAnsi" w:hAnsiTheme="minorHAnsi"/>
                <w:b/>
                <w:sz w:val="20"/>
                <w:szCs w:val="20"/>
              </w:rPr>
            </w:pPr>
          </w:p>
        </w:tc>
        <w:tc>
          <w:tcPr>
            <w:tcW w:w="4110" w:type="dxa"/>
            <w:shd w:val="clear" w:color="auto" w:fill="A6A6A6" w:themeFill="background1" w:themeFillShade="A6"/>
            <w:vAlign w:val="center"/>
          </w:tcPr>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CCDR Norte</w:t>
            </w:r>
          </w:p>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(CCDR N)</w:t>
            </w:r>
          </w:p>
        </w:tc>
        <w:tc>
          <w:tcPr>
            <w:tcW w:w="4110" w:type="dxa"/>
            <w:shd w:val="clear" w:color="auto" w:fill="A6A6A6" w:themeFill="background1" w:themeFillShade="A6"/>
            <w:vAlign w:val="center"/>
          </w:tcPr>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CCDR Centro</w:t>
            </w:r>
          </w:p>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(CCDR C)</w:t>
            </w:r>
          </w:p>
        </w:tc>
        <w:tc>
          <w:tcPr>
            <w:tcW w:w="4110" w:type="dxa"/>
            <w:shd w:val="clear" w:color="auto" w:fill="A6A6A6" w:themeFill="background1" w:themeFillShade="A6"/>
            <w:vAlign w:val="center"/>
          </w:tcPr>
          <w:p w:rsid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 xml:space="preserve">CCDR </w:t>
            </w:r>
            <w:r w:rsidR="00C138AF">
              <w:rPr>
                <w:rFonts w:asciiTheme="minorHAnsi" w:hAnsiTheme="minorHAnsi"/>
                <w:b/>
                <w:sz w:val="20"/>
                <w:szCs w:val="20"/>
              </w:rPr>
              <w:t>Lisboa e Vale do Tejo</w:t>
            </w:r>
          </w:p>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(CCDR LVT)</w:t>
            </w:r>
          </w:p>
        </w:tc>
        <w:tc>
          <w:tcPr>
            <w:tcW w:w="4110" w:type="dxa"/>
            <w:shd w:val="clear" w:color="auto" w:fill="A6A6A6" w:themeFill="background1" w:themeFillShade="A6"/>
            <w:vAlign w:val="center"/>
          </w:tcPr>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CCDR Alentejo</w:t>
            </w:r>
          </w:p>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(CCDR A)</w:t>
            </w:r>
          </w:p>
        </w:tc>
        <w:tc>
          <w:tcPr>
            <w:tcW w:w="4110" w:type="dxa"/>
            <w:shd w:val="clear" w:color="auto" w:fill="A6A6A6" w:themeFill="background1" w:themeFillShade="A6"/>
            <w:vAlign w:val="center"/>
          </w:tcPr>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CCDR Algarve</w:t>
            </w:r>
          </w:p>
          <w:p w:rsidR="00270312" w:rsidRPr="00C138AF" w:rsidRDefault="00270312" w:rsidP="00282B60">
            <w:pPr>
              <w:spacing w:after="0" w:line="240" w:lineRule="auto"/>
              <w:jc w:val="center"/>
              <w:rPr>
                <w:rFonts w:asciiTheme="minorHAnsi" w:hAnsiTheme="minorHAnsi"/>
                <w:b/>
                <w:sz w:val="20"/>
                <w:szCs w:val="20"/>
              </w:rPr>
            </w:pPr>
            <w:r w:rsidRPr="00C138AF">
              <w:rPr>
                <w:rFonts w:asciiTheme="minorHAnsi" w:hAnsiTheme="minorHAnsi"/>
                <w:b/>
                <w:sz w:val="20"/>
                <w:szCs w:val="20"/>
              </w:rPr>
              <w:t xml:space="preserve">(CCDR </w:t>
            </w:r>
            <w:proofErr w:type="spellStart"/>
            <w:r w:rsidRPr="00C138AF">
              <w:rPr>
                <w:rFonts w:asciiTheme="minorHAnsi" w:hAnsiTheme="minorHAnsi"/>
                <w:b/>
                <w:sz w:val="20"/>
                <w:szCs w:val="20"/>
              </w:rPr>
              <w:t>Alg</w:t>
            </w:r>
            <w:proofErr w:type="spellEnd"/>
            <w:r w:rsidRPr="00C138AF">
              <w:rPr>
                <w:rFonts w:asciiTheme="minorHAnsi" w:hAnsiTheme="minorHAnsi"/>
                <w:b/>
                <w:sz w:val="20"/>
                <w:szCs w:val="20"/>
              </w:rPr>
              <w:t>)</w:t>
            </w:r>
          </w:p>
        </w:tc>
      </w:tr>
      <w:tr w:rsidR="00270312" w:rsidRPr="00C138AF" w:rsidTr="007806B0">
        <w:trPr>
          <w:trHeight w:val="283"/>
        </w:trPr>
        <w:tc>
          <w:tcPr>
            <w:tcW w:w="22557" w:type="dxa"/>
            <w:gridSpan w:val="6"/>
            <w:shd w:val="clear" w:color="auto" w:fill="D9D9D9" w:themeFill="background1" w:themeFillShade="D9"/>
            <w:vAlign w:val="center"/>
          </w:tcPr>
          <w:p w:rsidR="00270312" w:rsidRPr="00C138AF" w:rsidRDefault="00270312" w:rsidP="00282B60">
            <w:pPr>
              <w:pStyle w:val="PargrafodaLista"/>
              <w:numPr>
                <w:ilvl w:val="0"/>
                <w:numId w:val="11"/>
              </w:numPr>
              <w:spacing w:after="0" w:line="240" w:lineRule="auto"/>
              <w:rPr>
                <w:rFonts w:asciiTheme="minorHAnsi" w:hAnsiTheme="minorHAnsi"/>
                <w:b/>
                <w:sz w:val="20"/>
                <w:szCs w:val="20"/>
              </w:rPr>
            </w:pPr>
            <w:r w:rsidRPr="00C138AF">
              <w:rPr>
                <w:rFonts w:asciiTheme="minorHAnsi" w:hAnsiTheme="minorHAnsi"/>
                <w:b/>
                <w:sz w:val="20"/>
                <w:szCs w:val="20"/>
              </w:rPr>
              <w:t>ÁREAS DE PROTEÇÃO DO LITORAL</w:t>
            </w:r>
          </w:p>
        </w:tc>
      </w:tr>
      <w:tr w:rsidR="0024010F" w:rsidRPr="00C138AF" w:rsidTr="007806B0">
        <w:tc>
          <w:tcPr>
            <w:tcW w:w="2007" w:type="dxa"/>
            <w:vAlign w:val="center"/>
          </w:tcPr>
          <w:p w:rsidR="0024010F" w:rsidRPr="00C138AF" w:rsidRDefault="0024010F" w:rsidP="00282B60">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t>Faixa Marítima de Proteção Costeira</w:t>
            </w:r>
          </w:p>
        </w:tc>
        <w:tc>
          <w:tcPr>
            <w:tcW w:w="4110" w:type="dxa"/>
          </w:tcPr>
          <w:p w:rsidR="0024010F" w:rsidRPr="00C138AF" w:rsidRDefault="0024010F" w:rsidP="00282B60">
            <w:pPr>
              <w:spacing w:after="0" w:line="240" w:lineRule="auto"/>
              <w:rPr>
                <w:rFonts w:asciiTheme="minorHAnsi" w:hAnsiTheme="minorHAnsi"/>
                <w:sz w:val="20"/>
                <w:szCs w:val="20"/>
              </w:rPr>
            </w:pPr>
          </w:p>
        </w:tc>
        <w:tc>
          <w:tcPr>
            <w:tcW w:w="4110" w:type="dxa"/>
          </w:tcPr>
          <w:p w:rsidR="0092765C" w:rsidRPr="00D6708D" w:rsidRDefault="0092765C" w:rsidP="0092765C">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 xml:space="preserve">Limite superior: LMPMAVE já disponibilizada pela </w:t>
            </w:r>
            <w:r w:rsidR="00201B5A">
              <w:rPr>
                <w:rFonts w:asciiTheme="minorHAnsi" w:hAnsiTheme="minorHAnsi"/>
                <w:color w:val="2E74B5" w:themeColor="accent1" w:themeShade="BF"/>
                <w:sz w:val="20"/>
                <w:szCs w:val="20"/>
              </w:rPr>
              <w:t>APA/</w:t>
            </w:r>
            <w:r w:rsidRPr="00D6708D">
              <w:rPr>
                <w:rFonts w:asciiTheme="minorHAnsi" w:hAnsiTheme="minorHAnsi"/>
                <w:color w:val="2E74B5" w:themeColor="accent1" w:themeShade="BF"/>
                <w:sz w:val="20"/>
                <w:szCs w:val="20"/>
              </w:rPr>
              <w:t>ARH Centro para a área de jurisdição da CCDRC</w:t>
            </w:r>
          </w:p>
          <w:p w:rsidR="0024010F" w:rsidRPr="00D6708D" w:rsidRDefault="0092765C" w:rsidP="0092765C">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Limite inferior: Batimétrica dos 30 metros (indisponível)</w:t>
            </w:r>
          </w:p>
        </w:tc>
        <w:tc>
          <w:tcPr>
            <w:tcW w:w="4110" w:type="dxa"/>
          </w:tcPr>
          <w:p w:rsidR="0024010F" w:rsidRPr="00A43990" w:rsidRDefault="00422172" w:rsidP="00282B60">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45 e 46</w:t>
            </w:r>
          </w:p>
          <w:p w:rsidR="0052211C" w:rsidRPr="00A43990" w:rsidRDefault="0052211C" w:rsidP="00282B60">
            <w:pPr>
              <w:spacing w:after="0" w:line="240" w:lineRule="auto"/>
              <w:rPr>
                <w:rFonts w:asciiTheme="minorHAnsi" w:hAnsiTheme="minorHAnsi"/>
                <w:i/>
                <w:color w:val="833C0B" w:themeColor="accent2" w:themeShade="80"/>
                <w:sz w:val="20"/>
                <w:szCs w:val="20"/>
              </w:rPr>
            </w:pPr>
          </w:p>
          <w:p w:rsidR="00775D57" w:rsidRPr="00A43990" w:rsidRDefault="004C6204">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Limite inferior: linha batimétrica dos 30 m, referida ao Zero Hidrográfico (ZH)</w:t>
            </w:r>
          </w:p>
          <w:p w:rsidR="004C6204" w:rsidRPr="00A43990" w:rsidRDefault="004C6204">
            <w:pPr>
              <w:spacing w:after="0" w:line="240" w:lineRule="auto"/>
              <w:rPr>
                <w:rFonts w:asciiTheme="minorHAnsi" w:hAnsiTheme="minorHAnsi"/>
                <w:i/>
                <w:color w:val="833C0B" w:themeColor="accent2" w:themeShade="80"/>
                <w:sz w:val="20"/>
                <w:szCs w:val="20"/>
              </w:rPr>
            </w:pPr>
            <w:r w:rsidRPr="00A43990">
              <w:rPr>
                <w:rFonts w:asciiTheme="minorHAnsi" w:hAnsiTheme="minorHAnsi"/>
                <w:color w:val="833C0B" w:themeColor="accent2" w:themeShade="80"/>
                <w:sz w:val="20"/>
                <w:szCs w:val="20"/>
              </w:rPr>
              <w:t xml:space="preserve">Limite superior: </w:t>
            </w:r>
            <w:r w:rsidR="00775D57" w:rsidRPr="00A43990">
              <w:rPr>
                <w:rFonts w:asciiTheme="minorHAnsi" w:hAnsiTheme="minorHAnsi"/>
                <w:b/>
                <w:color w:val="833C0B" w:themeColor="accent2" w:themeShade="80"/>
                <w:sz w:val="20"/>
                <w:szCs w:val="20"/>
              </w:rPr>
              <w:t>Limite superior do leito das águas do mar ou LMPMAVE definido pela APA</w:t>
            </w:r>
          </w:p>
        </w:tc>
        <w:tc>
          <w:tcPr>
            <w:tcW w:w="4110" w:type="dxa"/>
          </w:tcPr>
          <w:p w:rsidR="0024010F" w:rsidRPr="00C138AF" w:rsidRDefault="0027031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 xml:space="preserve">A </w:t>
            </w:r>
            <w:r w:rsidRPr="00D6708D">
              <w:rPr>
                <w:rFonts w:asciiTheme="minorHAnsi" w:hAnsiTheme="minorHAnsi"/>
                <w:b/>
                <w:color w:val="BF8F00" w:themeColor="accent4" w:themeShade="BF"/>
                <w:sz w:val="20"/>
                <w:szCs w:val="20"/>
              </w:rPr>
              <w:t>APA, I</w:t>
            </w:r>
            <w:r w:rsidR="00F0725C" w:rsidRPr="00D6708D">
              <w:rPr>
                <w:rFonts w:asciiTheme="minorHAnsi" w:hAnsiTheme="minorHAnsi"/>
                <w:b/>
                <w:color w:val="BF8F00" w:themeColor="accent4" w:themeShade="BF"/>
                <w:sz w:val="20"/>
                <w:szCs w:val="20"/>
              </w:rPr>
              <w:t>.</w:t>
            </w:r>
            <w:r w:rsidRPr="00D6708D">
              <w:rPr>
                <w:rFonts w:asciiTheme="minorHAnsi" w:hAnsiTheme="minorHAnsi"/>
                <w:b/>
                <w:color w:val="BF8F00" w:themeColor="accent4" w:themeShade="BF"/>
                <w:sz w:val="20"/>
                <w:szCs w:val="20"/>
              </w:rPr>
              <w:t>P</w:t>
            </w:r>
            <w:r w:rsidR="00F0725C" w:rsidRPr="00D6708D">
              <w:rPr>
                <w:rFonts w:asciiTheme="minorHAnsi" w:hAnsiTheme="minorHAnsi"/>
                <w:b/>
                <w:color w:val="BF8F00" w:themeColor="accent4" w:themeShade="BF"/>
                <w:sz w:val="20"/>
                <w:szCs w:val="20"/>
              </w:rPr>
              <w:t>.</w:t>
            </w:r>
            <w:r w:rsidRPr="00D6708D">
              <w:rPr>
                <w:rFonts w:asciiTheme="minorHAnsi" w:hAnsiTheme="minorHAnsi"/>
                <w:b/>
                <w:color w:val="BF8F00" w:themeColor="accent4" w:themeShade="BF"/>
                <w:sz w:val="20"/>
                <w:szCs w:val="20"/>
              </w:rPr>
              <w:t xml:space="preserve"> fornece a informação mais relevante para a delimitação deste sistema</w:t>
            </w:r>
            <w:r w:rsidRPr="00C138AF">
              <w:rPr>
                <w:rFonts w:asciiTheme="minorHAnsi" w:hAnsiTheme="minorHAnsi"/>
                <w:color w:val="BF8F00" w:themeColor="accent4" w:themeShade="BF"/>
                <w:sz w:val="20"/>
                <w:szCs w:val="20"/>
              </w:rPr>
              <w:t>, que é aferida com a cartografia atualizada (</w:t>
            </w:r>
            <w:proofErr w:type="spellStart"/>
            <w:r w:rsidRPr="00C138AF">
              <w:rPr>
                <w:rFonts w:asciiTheme="minorHAnsi" w:hAnsiTheme="minorHAnsi"/>
                <w:color w:val="BF8F00" w:themeColor="accent4" w:themeShade="BF"/>
                <w:sz w:val="20"/>
                <w:szCs w:val="20"/>
              </w:rPr>
              <w:t>ortofotomapas</w:t>
            </w:r>
            <w:proofErr w:type="spellEnd"/>
            <w:r w:rsidRPr="00C138AF">
              <w:rPr>
                <w:rFonts w:asciiTheme="minorHAnsi" w:hAnsiTheme="minorHAnsi"/>
                <w:color w:val="BF8F00" w:themeColor="accent4" w:themeShade="BF"/>
                <w:sz w:val="20"/>
                <w:szCs w:val="20"/>
              </w:rPr>
              <w:t>). Para além dos recursos cartográficos já referidos, foi utilizada a informação da malha da batimetria (2 milhas) do Instituto Hidrográfico.</w:t>
            </w:r>
          </w:p>
        </w:tc>
        <w:tc>
          <w:tcPr>
            <w:tcW w:w="4110" w:type="dxa"/>
          </w:tcPr>
          <w:p w:rsidR="002A326F" w:rsidRDefault="002A326F" w:rsidP="00282B60">
            <w:pPr>
              <w:spacing w:after="0" w:line="240" w:lineRule="auto"/>
              <w:rPr>
                <w:rFonts w:asciiTheme="minorHAnsi" w:hAnsiTheme="minorHAnsi"/>
                <w:i/>
                <w:color w:val="C45911" w:themeColor="accent2" w:themeShade="BF"/>
                <w:sz w:val="20"/>
                <w:szCs w:val="20"/>
              </w:rPr>
            </w:pPr>
            <w:r w:rsidRPr="0079154C">
              <w:rPr>
                <w:rFonts w:asciiTheme="minorHAnsi" w:hAnsiTheme="minorHAnsi"/>
                <w:i/>
                <w:color w:val="C45911" w:themeColor="accent2" w:themeShade="BF"/>
                <w:sz w:val="20"/>
                <w:szCs w:val="20"/>
              </w:rPr>
              <w:t xml:space="preserve">Guia Metodológico de Delimitação/Alteração da Delimitação da REN, da CCDR Algarve – páginas </w:t>
            </w:r>
            <w:r>
              <w:rPr>
                <w:rFonts w:asciiTheme="minorHAnsi" w:hAnsiTheme="minorHAnsi"/>
                <w:i/>
                <w:color w:val="C45911" w:themeColor="accent2" w:themeShade="BF"/>
                <w:sz w:val="20"/>
                <w:szCs w:val="20"/>
              </w:rPr>
              <w:t>19 e 20.</w:t>
            </w:r>
          </w:p>
          <w:p w:rsidR="00775D57" w:rsidRDefault="00775D57" w:rsidP="00282B60">
            <w:pPr>
              <w:spacing w:after="0" w:line="240" w:lineRule="auto"/>
              <w:rPr>
                <w:rFonts w:asciiTheme="minorHAnsi" w:hAnsiTheme="minorHAnsi"/>
                <w:color w:val="C45911" w:themeColor="accent2" w:themeShade="BF"/>
                <w:sz w:val="20"/>
                <w:szCs w:val="20"/>
              </w:rPr>
            </w:pPr>
            <w:r w:rsidRPr="00775D57">
              <w:rPr>
                <w:rFonts w:asciiTheme="minorHAnsi" w:hAnsiTheme="minorHAnsi"/>
                <w:color w:val="C45911" w:themeColor="accent2" w:themeShade="BF"/>
                <w:sz w:val="20"/>
                <w:szCs w:val="20"/>
              </w:rPr>
              <w:t xml:space="preserve">Áreas de proteção do litoral, deverão ser conjugados com os critérios propostos no documento </w:t>
            </w:r>
            <w:r w:rsidRPr="00A43990">
              <w:rPr>
                <w:rFonts w:asciiTheme="minorHAnsi" w:hAnsiTheme="minorHAnsi"/>
                <w:i/>
                <w:sz w:val="20"/>
                <w:szCs w:val="20"/>
              </w:rPr>
              <w:t>Demarcação do leito e da margem das águas do mar no litoral sul do Algarve</w:t>
            </w:r>
            <w:r w:rsidRPr="00A43990">
              <w:rPr>
                <w:rFonts w:asciiTheme="minorHAnsi" w:hAnsiTheme="minorHAnsi"/>
                <w:sz w:val="20"/>
                <w:szCs w:val="20"/>
              </w:rPr>
              <w:t>, Relatório Técnico da ARH do Algarve, 2009</w:t>
            </w:r>
          </w:p>
          <w:p w:rsidR="0024010F" w:rsidRDefault="0079154C" w:rsidP="00282B60">
            <w:pPr>
              <w:spacing w:after="0" w:line="240" w:lineRule="auto"/>
              <w:rPr>
                <w:rFonts w:asciiTheme="minorHAnsi" w:hAnsiTheme="minorHAnsi"/>
                <w:color w:val="C45911" w:themeColor="accent2" w:themeShade="BF"/>
                <w:sz w:val="20"/>
                <w:szCs w:val="20"/>
              </w:rPr>
            </w:pPr>
            <w:r w:rsidRPr="0079154C">
              <w:rPr>
                <w:rFonts w:asciiTheme="minorHAnsi" w:hAnsiTheme="minorHAnsi"/>
                <w:color w:val="C45911" w:themeColor="accent2" w:themeShade="BF"/>
                <w:sz w:val="20"/>
                <w:szCs w:val="20"/>
              </w:rPr>
              <w:t xml:space="preserve">Na costa sul do Algarve </w:t>
            </w:r>
            <w:r w:rsidRPr="00D6708D">
              <w:rPr>
                <w:rFonts w:asciiTheme="minorHAnsi" w:hAnsiTheme="minorHAnsi"/>
                <w:b/>
                <w:color w:val="C45911" w:themeColor="accent2" w:themeShade="BF"/>
                <w:sz w:val="20"/>
                <w:szCs w:val="20"/>
              </w:rPr>
              <w:t>o leito das águas do mar corresponde à cota 4 referida ao ZH. Na costa ocidental Algarvia, deverá considerar-se a cota 6 (ZH).</w:t>
            </w:r>
          </w:p>
          <w:p w:rsidR="0079154C" w:rsidRPr="00C138AF" w:rsidRDefault="0079154C" w:rsidP="00282B60">
            <w:pPr>
              <w:spacing w:after="0" w:line="240" w:lineRule="auto"/>
              <w:rPr>
                <w:rFonts w:asciiTheme="minorHAnsi" w:hAnsiTheme="minorHAnsi"/>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t>Praias</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D6708D" w:rsidRDefault="0092765C" w:rsidP="00422172">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Limite inferior: Batimétrica dos 16 metros (indisponível)</w:t>
            </w:r>
          </w:p>
        </w:tc>
        <w:tc>
          <w:tcPr>
            <w:tcW w:w="4110" w:type="dxa"/>
          </w:tcPr>
          <w:p w:rsidR="00786483" w:rsidRPr="00A43990" w:rsidRDefault="00786483" w:rsidP="00C14808">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47 a 49.</w:t>
            </w:r>
          </w:p>
          <w:p w:rsidR="00786483" w:rsidRPr="00A43990" w:rsidRDefault="00786483" w:rsidP="00C14808">
            <w:pPr>
              <w:spacing w:after="0" w:line="240" w:lineRule="auto"/>
              <w:rPr>
                <w:rFonts w:asciiTheme="minorHAnsi" w:hAnsiTheme="minorHAnsi"/>
                <w:i/>
                <w:color w:val="833C0B" w:themeColor="accent2" w:themeShade="80"/>
                <w:sz w:val="20"/>
                <w:szCs w:val="20"/>
              </w:rPr>
            </w:pPr>
          </w:p>
          <w:p w:rsidR="00C14808" w:rsidRPr="00A43990" w:rsidRDefault="0098782F" w:rsidP="00C14808">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T</w:t>
            </w:r>
            <w:r w:rsidR="00C14808" w:rsidRPr="00A43990">
              <w:rPr>
                <w:rFonts w:asciiTheme="minorHAnsi" w:hAnsiTheme="minorHAnsi"/>
                <w:color w:val="833C0B" w:themeColor="accent2" w:themeShade="80"/>
                <w:sz w:val="20"/>
                <w:szCs w:val="20"/>
              </w:rPr>
              <w:t xml:space="preserve">odas as formas que correspondam à definição, incluindo as </w:t>
            </w:r>
            <w:r w:rsidRPr="00A43990">
              <w:rPr>
                <w:rFonts w:asciiTheme="minorHAnsi" w:hAnsiTheme="minorHAnsi"/>
                <w:color w:val="833C0B" w:themeColor="accent2" w:themeShade="80"/>
                <w:sz w:val="20"/>
                <w:szCs w:val="20"/>
              </w:rPr>
              <w:t>praias em zonas não balneares,</w:t>
            </w:r>
            <w:r w:rsidR="00C14808" w:rsidRPr="00A43990">
              <w:rPr>
                <w:rFonts w:asciiTheme="minorHAnsi" w:hAnsiTheme="minorHAnsi"/>
                <w:color w:val="833C0B" w:themeColor="accent2" w:themeShade="80"/>
                <w:sz w:val="20"/>
                <w:szCs w:val="20"/>
              </w:rPr>
              <w:t xml:space="preserve"> e excluindo as praias internas, localizadas em águas de transição</w:t>
            </w:r>
            <w:r w:rsidRPr="00A43990">
              <w:rPr>
                <w:rFonts w:asciiTheme="minorHAnsi" w:hAnsiTheme="minorHAnsi"/>
                <w:color w:val="833C0B" w:themeColor="accent2" w:themeShade="80"/>
                <w:sz w:val="20"/>
                <w:szCs w:val="20"/>
              </w:rPr>
              <w:t>, são integradas</w:t>
            </w:r>
            <w:r w:rsidR="00C14808" w:rsidRPr="00A43990">
              <w:rPr>
                <w:rFonts w:asciiTheme="minorHAnsi" w:hAnsiTheme="minorHAnsi"/>
                <w:color w:val="833C0B" w:themeColor="accent2" w:themeShade="80"/>
                <w:sz w:val="20"/>
                <w:szCs w:val="20"/>
              </w:rPr>
              <w:t>.</w:t>
            </w:r>
          </w:p>
          <w:p w:rsidR="00C14808" w:rsidRPr="00A43990" w:rsidRDefault="00C14808" w:rsidP="00C14808">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Os elementos cartográficos devem indicar a toponímia das praias, sempre que possível.</w:t>
            </w:r>
          </w:p>
          <w:p w:rsidR="00775D57" w:rsidRPr="00A43990" w:rsidRDefault="00775D57">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F0725C" w:rsidP="00F0725C">
            <w:pPr>
              <w:spacing w:after="0" w:line="240" w:lineRule="auto"/>
              <w:rPr>
                <w:rFonts w:asciiTheme="minorHAnsi" w:hAnsiTheme="minorHAnsi"/>
                <w:color w:val="BF8F00" w:themeColor="accent4" w:themeShade="BF"/>
                <w:sz w:val="20"/>
                <w:szCs w:val="20"/>
              </w:rPr>
            </w:pPr>
            <w:r>
              <w:rPr>
                <w:rFonts w:asciiTheme="minorHAnsi" w:hAnsiTheme="minorHAnsi"/>
                <w:color w:val="BF8F00" w:themeColor="accent4" w:themeShade="BF"/>
                <w:sz w:val="20"/>
                <w:szCs w:val="20"/>
              </w:rPr>
              <w:t>Entre outros recursos cartográficos, é utilizada</w:t>
            </w:r>
            <w:r w:rsidR="00422172" w:rsidRPr="00C138AF">
              <w:rPr>
                <w:rFonts w:asciiTheme="minorHAnsi" w:hAnsiTheme="minorHAnsi"/>
                <w:color w:val="BF8F00" w:themeColor="accent4" w:themeShade="BF"/>
                <w:sz w:val="20"/>
                <w:szCs w:val="20"/>
              </w:rPr>
              <w:t xml:space="preserve"> a informação da malha da batimetria (2 milhas) do Instituto Hidrográfico.</w:t>
            </w:r>
          </w:p>
        </w:tc>
        <w:tc>
          <w:tcPr>
            <w:tcW w:w="4110" w:type="dxa"/>
          </w:tcPr>
          <w:p w:rsidR="00515DE3" w:rsidRDefault="00515DE3" w:rsidP="0079154C">
            <w:pPr>
              <w:spacing w:after="0" w:line="240" w:lineRule="auto"/>
              <w:rPr>
                <w:rFonts w:asciiTheme="minorHAnsi" w:hAnsiTheme="minorHAnsi"/>
                <w:i/>
                <w:color w:val="C45911" w:themeColor="accent2" w:themeShade="BF"/>
                <w:sz w:val="20"/>
                <w:szCs w:val="20"/>
              </w:rPr>
            </w:pPr>
            <w:r w:rsidRPr="0079154C">
              <w:rPr>
                <w:rFonts w:asciiTheme="minorHAnsi" w:hAnsiTheme="minorHAnsi"/>
                <w:i/>
                <w:color w:val="C45911" w:themeColor="accent2" w:themeShade="BF"/>
                <w:sz w:val="20"/>
                <w:szCs w:val="20"/>
              </w:rPr>
              <w:t>Guia Metodológico de Delimitação/Alteração da Delimitação da REN, da CCDR Algarve – páginas 21 e 22</w:t>
            </w:r>
            <w:r>
              <w:rPr>
                <w:rFonts w:asciiTheme="minorHAnsi" w:hAnsiTheme="minorHAnsi"/>
                <w:i/>
                <w:color w:val="C45911" w:themeColor="accent2" w:themeShade="BF"/>
                <w:sz w:val="20"/>
                <w:szCs w:val="20"/>
              </w:rPr>
              <w:t>.</w:t>
            </w:r>
          </w:p>
          <w:p w:rsidR="0079154C" w:rsidRPr="0079154C" w:rsidRDefault="0079154C" w:rsidP="0079154C">
            <w:pPr>
              <w:spacing w:after="0" w:line="240" w:lineRule="auto"/>
              <w:rPr>
                <w:rFonts w:asciiTheme="minorHAnsi" w:hAnsiTheme="minorHAnsi"/>
                <w:color w:val="C45911" w:themeColor="accent2" w:themeShade="BF"/>
                <w:sz w:val="20"/>
                <w:szCs w:val="20"/>
              </w:rPr>
            </w:pPr>
            <w:r w:rsidRPr="0079154C">
              <w:rPr>
                <w:rFonts w:asciiTheme="minorHAnsi" w:hAnsiTheme="minorHAnsi"/>
                <w:color w:val="C45911" w:themeColor="accent2" w:themeShade="BF"/>
                <w:sz w:val="20"/>
                <w:szCs w:val="20"/>
              </w:rPr>
              <w:t xml:space="preserve">Na costa do sotavento algarvio verifica-se a presença contínua de praias, apenas interrompida pelas barras de maré do sistema lagunar da Ria Formosa. </w:t>
            </w:r>
          </w:p>
          <w:p w:rsidR="00422172" w:rsidRDefault="0079154C" w:rsidP="0079154C">
            <w:pPr>
              <w:spacing w:after="0" w:line="240" w:lineRule="auto"/>
              <w:rPr>
                <w:rFonts w:asciiTheme="minorHAnsi" w:hAnsiTheme="minorHAnsi"/>
                <w:color w:val="C45911" w:themeColor="accent2" w:themeShade="BF"/>
                <w:sz w:val="20"/>
                <w:szCs w:val="20"/>
              </w:rPr>
            </w:pPr>
            <w:r w:rsidRPr="0079154C">
              <w:rPr>
                <w:rFonts w:asciiTheme="minorHAnsi" w:hAnsiTheme="minorHAnsi"/>
                <w:color w:val="C45911" w:themeColor="accent2" w:themeShade="BF"/>
                <w:sz w:val="20"/>
                <w:szCs w:val="20"/>
              </w:rPr>
              <w:t>No barlavento conjuga-se a existência de praias associadas a sistemas dunares com praias de enseada em litoral de arriba. Esta alternância estende-se igualmente à costa ocidental da região.</w:t>
            </w:r>
          </w:p>
          <w:p w:rsidR="0079154C" w:rsidRPr="0079154C" w:rsidRDefault="0079154C" w:rsidP="0079154C">
            <w:pPr>
              <w:spacing w:after="0" w:line="240" w:lineRule="auto"/>
              <w:rPr>
                <w:rFonts w:asciiTheme="minorHAnsi" w:hAnsiTheme="minorHAnsi"/>
                <w: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t>Barreiras detríticas (restingas, barreiras soldadas e ilhas barreira)</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D6708D" w:rsidRDefault="0092765C" w:rsidP="00422172">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Limite exterior: Batimétrica dos 16 metros (indisponível)</w:t>
            </w:r>
          </w:p>
        </w:tc>
        <w:tc>
          <w:tcPr>
            <w:tcW w:w="4110" w:type="dxa"/>
          </w:tcPr>
          <w:p w:rsidR="00786483" w:rsidRPr="00A43990" w:rsidRDefault="00786483" w:rsidP="00422172">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50 a 52.</w:t>
            </w:r>
          </w:p>
          <w:p w:rsidR="00786483" w:rsidRPr="00A43990" w:rsidRDefault="00786483" w:rsidP="00422172">
            <w:pPr>
              <w:spacing w:after="0" w:line="240" w:lineRule="auto"/>
              <w:rPr>
                <w:rFonts w:asciiTheme="minorHAnsi" w:hAnsiTheme="minorHAnsi"/>
                <w:i/>
                <w:color w:val="833C0B" w:themeColor="accent2" w:themeShade="80"/>
                <w:sz w:val="20"/>
                <w:szCs w:val="20"/>
              </w:rPr>
            </w:pPr>
          </w:p>
          <w:p w:rsidR="00C14808" w:rsidRPr="00A43990" w:rsidRDefault="00C14808" w:rsidP="0042217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Em L</w:t>
            </w:r>
            <w:r w:rsidR="004B3B9E" w:rsidRPr="00A43990">
              <w:rPr>
                <w:rFonts w:asciiTheme="minorHAnsi" w:hAnsiTheme="minorHAnsi"/>
                <w:color w:val="833C0B" w:themeColor="accent2" w:themeShade="80"/>
                <w:sz w:val="20"/>
                <w:szCs w:val="20"/>
              </w:rPr>
              <w:t xml:space="preserve">isboa e </w:t>
            </w:r>
            <w:r w:rsidRPr="00A43990">
              <w:rPr>
                <w:rFonts w:asciiTheme="minorHAnsi" w:hAnsiTheme="minorHAnsi"/>
                <w:color w:val="833C0B" w:themeColor="accent2" w:themeShade="80"/>
                <w:sz w:val="20"/>
                <w:szCs w:val="20"/>
              </w:rPr>
              <w:t>V</w:t>
            </w:r>
            <w:r w:rsidR="004B3B9E" w:rsidRPr="00A43990">
              <w:rPr>
                <w:rFonts w:asciiTheme="minorHAnsi" w:hAnsiTheme="minorHAnsi"/>
                <w:color w:val="833C0B" w:themeColor="accent2" w:themeShade="80"/>
                <w:sz w:val="20"/>
                <w:szCs w:val="20"/>
              </w:rPr>
              <w:t xml:space="preserve">ale do </w:t>
            </w:r>
            <w:r w:rsidRPr="00A43990">
              <w:rPr>
                <w:rFonts w:asciiTheme="minorHAnsi" w:hAnsiTheme="minorHAnsi"/>
                <w:color w:val="833C0B" w:themeColor="accent2" w:themeShade="80"/>
                <w:sz w:val="20"/>
                <w:szCs w:val="20"/>
              </w:rPr>
              <w:t>T</w:t>
            </w:r>
            <w:r w:rsidR="004B3B9E" w:rsidRPr="00A43990">
              <w:rPr>
                <w:rFonts w:asciiTheme="minorHAnsi" w:hAnsiTheme="minorHAnsi"/>
                <w:color w:val="833C0B" w:themeColor="accent2" w:themeShade="80"/>
                <w:sz w:val="20"/>
                <w:szCs w:val="20"/>
              </w:rPr>
              <w:t>ejo</w:t>
            </w:r>
            <w:r w:rsidRPr="00A43990">
              <w:rPr>
                <w:rFonts w:asciiTheme="minorHAnsi" w:hAnsiTheme="minorHAnsi"/>
                <w:color w:val="833C0B" w:themeColor="accent2" w:themeShade="80"/>
                <w:sz w:val="20"/>
                <w:szCs w:val="20"/>
              </w:rPr>
              <w:t xml:space="preserve"> as barreiras detríticas não assumem expressão significativa à exceção do banco do Bugio e das restingas da Figueirinha e da lagoa de Óbidos.</w:t>
            </w:r>
          </w:p>
          <w:p w:rsidR="004B3B9E" w:rsidRPr="00A43990" w:rsidRDefault="004B3B9E" w:rsidP="00422172">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F329C6" w:rsidRDefault="00F329C6" w:rsidP="00422172">
            <w:pPr>
              <w:spacing w:after="0" w:line="240" w:lineRule="auto"/>
              <w:rPr>
                <w:rFonts w:asciiTheme="minorHAnsi" w:hAnsiTheme="minorHAnsi"/>
                <w:color w:val="C45911" w:themeColor="accent2" w:themeShade="BF"/>
                <w:sz w:val="20"/>
                <w:szCs w:val="20"/>
              </w:rPr>
            </w:pPr>
            <w:r w:rsidRPr="0079154C">
              <w:rPr>
                <w:rFonts w:asciiTheme="minorHAnsi" w:hAnsiTheme="minorHAnsi"/>
                <w:i/>
                <w:color w:val="C45911" w:themeColor="accent2" w:themeShade="BF"/>
                <w:sz w:val="20"/>
                <w:szCs w:val="20"/>
              </w:rPr>
              <w:t xml:space="preserve">Guia Metodológico de Delimitação/Alteração da Delimitação da REN, da CCDR Algarve – páginas </w:t>
            </w:r>
            <w:r>
              <w:rPr>
                <w:rFonts w:asciiTheme="minorHAnsi" w:hAnsiTheme="minorHAnsi"/>
                <w:i/>
                <w:color w:val="C45911" w:themeColor="accent2" w:themeShade="BF"/>
                <w:sz w:val="20"/>
                <w:szCs w:val="20"/>
              </w:rPr>
              <w:t>23 e 24.</w:t>
            </w:r>
          </w:p>
          <w:p w:rsidR="0079154C" w:rsidRPr="0079154C" w:rsidRDefault="0079154C" w:rsidP="00422172">
            <w:pPr>
              <w:spacing w:after="0" w:line="240" w:lineRule="auto"/>
              <w:rPr>
                <w:rFonts w:asciiTheme="minorHAnsi" w:hAnsiTheme="minorHAnsi"/>
                <w:color w:val="C45911" w:themeColor="accent2" w:themeShade="BF"/>
                <w:sz w:val="20"/>
                <w:szCs w:val="20"/>
              </w:rPr>
            </w:pPr>
            <w:r w:rsidRPr="0079154C">
              <w:rPr>
                <w:rFonts w:asciiTheme="minorHAnsi" w:hAnsiTheme="minorHAnsi"/>
                <w:color w:val="C45911" w:themeColor="accent2" w:themeShade="BF"/>
                <w:sz w:val="20"/>
                <w:szCs w:val="20"/>
              </w:rPr>
              <w:t xml:space="preserve">No litoral algarvio as barreiras detríticas são representadas pelo sistema de ilhas-barreira da Ria Formosa, pelo cordão arenoso que individualiza a Ria de Alvor e pelas barreiras detríticas no setor costeiro da Praia Grande que individualizaram para o interior a lagoa dos Salgados e os sapais de </w:t>
            </w:r>
            <w:proofErr w:type="spellStart"/>
            <w:r w:rsidRPr="0079154C">
              <w:rPr>
                <w:rFonts w:asciiTheme="minorHAnsi" w:hAnsiTheme="minorHAnsi"/>
                <w:color w:val="C45911" w:themeColor="accent2" w:themeShade="BF"/>
                <w:sz w:val="20"/>
                <w:szCs w:val="20"/>
              </w:rPr>
              <w:t>Pêra</w:t>
            </w:r>
            <w:proofErr w:type="spellEnd"/>
            <w:r w:rsidRPr="0079154C">
              <w:rPr>
                <w:rFonts w:asciiTheme="minorHAnsi" w:hAnsiTheme="minorHAnsi"/>
                <w:color w:val="C45911" w:themeColor="accent2" w:themeShade="BF"/>
                <w:sz w:val="20"/>
                <w:szCs w:val="20"/>
              </w:rPr>
              <w:t>/Alcantarilha.</w:t>
            </w:r>
          </w:p>
        </w:tc>
      </w:tr>
      <w:tr w:rsidR="00422172" w:rsidRPr="00C138AF" w:rsidTr="007806B0">
        <w:tc>
          <w:tcPr>
            <w:tcW w:w="2007" w:type="dxa"/>
            <w:vAlign w:val="center"/>
          </w:tcPr>
          <w:p w:rsidR="00422172" w:rsidRPr="00C138AF" w:rsidRDefault="00422172" w:rsidP="00422172">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t>Tômbolos</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786483" w:rsidRPr="00A43990" w:rsidRDefault="00786483" w:rsidP="00422172">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53 e 54.</w:t>
            </w:r>
          </w:p>
          <w:p w:rsidR="00786483" w:rsidRPr="00A43990" w:rsidRDefault="00786483" w:rsidP="00422172">
            <w:pPr>
              <w:spacing w:after="0" w:line="240" w:lineRule="auto"/>
              <w:rPr>
                <w:rFonts w:asciiTheme="minorHAnsi" w:hAnsiTheme="minorHAnsi"/>
                <w:i/>
                <w:color w:val="833C0B" w:themeColor="accent2" w:themeShade="80"/>
                <w:sz w:val="20"/>
                <w:szCs w:val="20"/>
              </w:rPr>
            </w:pPr>
          </w:p>
          <w:p w:rsidR="004B3B9E" w:rsidRPr="00A43990" w:rsidRDefault="004B3B9E" w:rsidP="0042217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Devem ser incluídas as estruturas do Baleal e de Peniche e uma estrutura no extremo Norte do concelho de Sintra.</w:t>
            </w:r>
          </w:p>
          <w:p w:rsidR="009205DE" w:rsidRPr="00A43990" w:rsidRDefault="009205DE" w:rsidP="00422172">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F329C6" w:rsidRDefault="008056DD" w:rsidP="00F329C6">
            <w:pPr>
              <w:spacing w:after="0" w:line="240" w:lineRule="auto"/>
              <w:rPr>
                <w:rFonts w:asciiTheme="minorHAnsi" w:hAnsiTheme="minorHAnsi"/>
                <w:color w:val="C45911" w:themeColor="accent2" w:themeShade="BF"/>
                <w:sz w:val="20"/>
                <w:szCs w:val="20"/>
              </w:rPr>
            </w:pPr>
            <w:r w:rsidRPr="0079154C">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 25.</w:t>
            </w:r>
          </w:p>
          <w:p w:rsidR="00F329C6" w:rsidRDefault="00F329C6" w:rsidP="00F329C6">
            <w:pPr>
              <w:spacing w:after="0" w:line="240" w:lineRule="auto"/>
              <w:rPr>
                <w:rFonts w:asciiTheme="minorHAnsi" w:hAnsiTheme="minorHAnsi"/>
                <w:color w:val="C45911" w:themeColor="accent2" w:themeShade="BF"/>
                <w:sz w:val="20"/>
                <w:szCs w:val="20"/>
              </w:rPr>
            </w:pPr>
            <w:r w:rsidRPr="008056DD">
              <w:rPr>
                <w:rFonts w:asciiTheme="minorHAnsi" w:hAnsiTheme="minorHAnsi"/>
                <w:color w:val="C45911" w:themeColor="accent2" w:themeShade="BF"/>
                <w:sz w:val="20"/>
                <w:szCs w:val="20"/>
              </w:rPr>
              <w:t>Sem representação na região do Algarve.</w:t>
            </w:r>
          </w:p>
          <w:p w:rsidR="008056DD" w:rsidRPr="008056DD" w:rsidRDefault="008056DD" w:rsidP="00422172">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t>Sapais</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D6708D" w:rsidRDefault="0092765C" w:rsidP="00D6708D">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 xml:space="preserve">O contorno exterior dos conjuntos de unidades de superfície com vegetação holofítica situadas no domínio </w:t>
            </w:r>
            <w:proofErr w:type="spellStart"/>
            <w:r w:rsidRPr="00D6708D">
              <w:rPr>
                <w:rFonts w:asciiTheme="minorHAnsi" w:hAnsiTheme="minorHAnsi"/>
                <w:color w:val="2E74B5" w:themeColor="accent1" w:themeShade="BF"/>
                <w:sz w:val="20"/>
                <w:szCs w:val="20"/>
              </w:rPr>
              <w:t>intertidal</w:t>
            </w:r>
            <w:proofErr w:type="spellEnd"/>
            <w:r w:rsidRPr="00D6708D">
              <w:rPr>
                <w:rFonts w:asciiTheme="minorHAnsi" w:hAnsiTheme="minorHAnsi"/>
                <w:color w:val="2E74B5" w:themeColor="accent1" w:themeShade="BF"/>
                <w:sz w:val="20"/>
                <w:szCs w:val="20"/>
              </w:rPr>
              <w:t>,</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 xml:space="preserve">onde se incluem as áreas adjacentes, estão incluídas na demarcação da LMPMAVE, disponibilizada pela </w:t>
            </w:r>
            <w:r w:rsidR="00201B5A">
              <w:rPr>
                <w:rFonts w:asciiTheme="minorHAnsi" w:hAnsiTheme="minorHAnsi"/>
                <w:color w:val="2E74B5" w:themeColor="accent1" w:themeShade="BF"/>
                <w:sz w:val="20"/>
                <w:szCs w:val="20"/>
              </w:rPr>
              <w:t>APA/</w:t>
            </w:r>
            <w:r w:rsidRPr="00D6708D">
              <w:rPr>
                <w:rFonts w:asciiTheme="minorHAnsi" w:hAnsiTheme="minorHAnsi"/>
                <w:color w:val="2E74B5" w:themeColor="accent1" w:themeShade="BF"/>
                <w:sz w:val="20"/>
                <w:szCs w:val="20"/>
              </w:rPr>
              <w:t>ARH Centro,</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pelo que a delimitação das águas de transição e respetivos leitos’ abrange os Sapais</w:t>
            </w:r>
          </w:p>
        </w:tc>
        <w:tc>
          <w:tcPr>
            <w:tcW w:w="4110" w:type="dxa"/>
          </w:tcPr>
          <w:p w:rsidR="00422172" w:rsidRPr="00A43990" w:rsidRDefault="00422172" w:rsidP="00422172">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55</w:t>
            </w:r>
            <w:r w:rsidR="00786483" w:rsidRPr="00A43990">
              <w:rPr>
                <w:rFonts w:asciiTheme="minorHAnsi" w:hAnsiTheme="minorHAnsi"/>
                <w:i/>
                <w:color w:val="833C0B" w:themeColor="accent2" w:themeShade="80"/>
                <w:sz w:val="20"/>
                <w:szCs w:val="20"/>
              </w:rPr>
              <w:t>.</w:t>
            </w:r>
          </w:p>
          <w:p w:rsidR="00786483" w:rsidRPr="00A43990" w:rsidRDefault="00786483" w:rsidP="00422172">
            <w:pPr>
              <w:spacing w:after="0" w:line="240" w:lineRule="auto"/>
              <w:rPr>
                <w:rFonts w:asciiTheme="minorHAnsi" w:hAnsiTheme="minorHAnsi"/>
                <w:i/>
                <w:color w:val="833C0B" w:themeColor="accent2" w:themeShade="80"/>
                <w:sz w:val="20"/>
                <w:szCs w:val="20"/>
              </w:rPr>
            </w:pPr>
          </w:p>
          <w:p w:rsidR="00786483" w:rsidRPr="00A43990" w:rsidRDefault="00786483" w:rsidP="00422172">
            <w:pPr>
              <w:spacing w:after="0" w:line="240" w:lineRule="auto"/>
              <w:rPr>
                <w:rFonts w:asciiTheme="minorHAnsi" w:hAnsiTheme="minorHAnsi"/>
                <w:i/>
                <w:color w:val="833C0B" w:themeColor="accent2" w:themeShade="80"/>
                <w:sz w:val="20"/>
                <w:szCs w:val="20"/>
              </w:rPr>
            </w:pPr>
          </w:p>
          <w:p w:rsidR="00D11E8A" w:rsidRPr="00A43990" w:rsidRDefault="00D11E8A" w:rsidP="00422172">
            <w:pPr>
              <w:spacing w:after="0" w:line="240" w:lineRule="auto"/>
              <w:rPr>
                <w:rFonts w:asciiTheme="minorHAnsi" w:hAnsiTheme="minorHAnsi"/>
                <w:b/>
                <w:color w:val="833C0B" w:themeColor="accent2" w:themeShade="80"/>
                <w:sz w:val="20"/>
                <w:szCs w:val="20"/>
              </w:rPr>
            </w:pPr>
            <w:r w:rsidRPr="00A43990">
              <w:rPr>
                <w:rFonts w:asciiTheme="minorHAnsi" w:hAnsiTheme="minorHAnsi"/>
                <w:b/>
                <w:color w:val="833C0B" w:themeColor="accent2" w:themeShade="80"/>
                <w:sz w:val="20"/>
                <w:szCs w:val="20"/>
              </w:rPr>
              <w:t xml:space="preserve">A identificação destas áreas deve atender às características morfológicas e bióticas presentes. A sua delimitação deve fazer-se pelo contorno exterior dos conjuntos de unidades de superfície com vegetação </w:t>
            </w:r>
            <w:proofErr w:type="spellStart"/>
            <w:r w:rsidRPr="00A43990">
              <w:rPr>
                <w:rFonts w:asciiTheme="minorHAnsi" w:hAnsiTheme="minorHAnsi"/>
                <w:b/>
                <w:color w:val="833C0B" w:themeColor="accent2" w:themeShade="80"/>
                <w:sz w:val="20"/>
                <w:szCs w:val="20"/>
              </w:rPr>
              <w:lastRenderedPageBreak/>
              <w:t>halofítica</w:t>
            </w:r>
            <w:proofErr w:type="spellEnd"/>
            <w:r w:rsidRPr="00A43990">
              <w:rPr>
                <w:rFonts w:asciiTheme="minorHAnsi" w:hAnsiTheme="minorHAnsi"/>
                <w:b/>
                <w:color w:val="833C0B" w:themeColor="accent2" w:themeShade="80"/>
                <w:sz w:val="20"/>
                <w:szCs w:val="20"/>
              </w:rPr>
              <w:t xml:space="preserve"> situadas no domínio </w:t>
            </w:r>
            <w:proofErr w:type="spellStart"/>
            <w:r w:rsidRPr="00A43990">
              <w:rPr>
                <w:rFonts w:asciiTheme="minorHAnsi" w:hAnsiTheme="minorHAnsi"/>
                <w:b/>
                <w:color w:val="833C0B" w:themeColor="accent2" w:themeShade="80"/>
                <w:sz w:val="20"/>
                <w:szCs w:val="20"/>
              </w:rPr>
              <w:t>intertidal</w:t>
            </w:r>
            <w:proofErr w:type="spellEnd"/>
            <w:r w:rsidRPr="00A43990">
              <w:rPr>
                <w:rFonts w:asciiTheme="minorHAnsi" w:hAnsiTheme="minorHAnsi"/>
                <w:b/>
                <w:color w:val="833C0B" w:themeColor="accent2" w:themeShade="80"/>
                <w:sz w:val="20"/>
                <w:szCs w:val="20"/>
              </w:rPr>
              <w:t>, incluindo as áreas adjacentes fundamentais para a sua manutenção e funcionamento natural, como sejam a rede de canais que drena essas unidades e as áreas de natureza arenosa ou lodosa incluídas nessas áreas adjacentes</w:t>
            </w:r>
          </w:p>
        </w:tc>
        <w:tc>
          <w:tcPr>
            <w:tcW w:w="4110" w:type="dxa"/>
          </w:tcPr>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lastRenderedPageBreak/>
              <w:t>Pela relevância dos critérios biológicos na identificação deste sistema a sua delimitação, nas áreas protegidas, tem sido efetuada de acordo com a cartografia fornecida pelo ICNF.</w:t>
            </w:r>
          </w:p>
        </w:tc>
        <w:tc>
          <w:tcPr>
            <w:tcW w:w="4110" w:type="dxa"/>
          </w:tcPr>
          <w:p w:rsidR="00F329C6" w:rsidRDefault="00F329C6" w:rsidP="00422172">
            <w:pPr>
              <w:spacing w:after="0" w:line="240" w:lineRule="auto"/>
              <w:rPr>
                <w:rFonts w:asciiTheme="minorHAnsi" w:hAnsiTheme="minorHAnsi"/>
                <w:i/>
                <w:color w:val="C45911" w:themeColor="accent2" w:themeShade="BF"/>
                <w:sz w:val="20"/>
                <w:szCs w:val="20"/>
              </w:rPr>
            </w:pPr>
            <w:r w:rsidRPr="008056DD">
              <w:rPr>
                <w:rFonts w:asciiTheme="minorHAnsi" w:hAnsiTheme="minorHAnsi"/>
                <w:i/>
                <w:color w:val="C45911" w:themeColor="accent2" w:themeShade="BF"/>
                <w:sz w:val="20"/>
                <w:szCs w:val="20"/>
              </w:rPr>
              <w:t>Guia Metodológico de Delimitação/Alteração da Delimitação da REN, da CCDR Algarve – páginas 26 e 27</w:t>
            </w:r>
            <w:r>
              <w:rPr>
                <w:rFonts w:asciiTheme="minorHAnsi" w:hAnsiTheme="minorHAnsi"/>
                <w:i/>
                <w:color w:val="C45911" w:themeColor="accent2" w:themeShade="BF"/>
                <w:sz w:val="20"/>
                <w:szCs w:val="20"/>
              </w:rPr>
              <w:t>.</w:t>
            </w:r>
          </w:p>
          <w:p w:rsidR="00422172" w:rsidRPr="008056DD" w:rsidRDefault="008056DD" w:rsidP="00422172">
            <w:pPr>
              <w:spacing w:after="0" w:line="240" w:lineRule="auto"/>
              <w:rPr>
                <w:rFonts w:asciiTheme="minorHAnsi" w:hAnsiTheme="minorHAnsi"/>
                <w:color w:val="C45911" w:themeColor="accent2" w:themeShade="BF"/>
                <w:sz w:val="20"/>
                <w:szCs w:val="20"/>
              </w:rPr>
            </w:pPr>
            <w:r w:rsidRPr="008056DD">
              <w:rPr>
                <w:rFonts w:asciiTheme="minorHAnsi" w:hAnsiTheme="minorHAnsi"/>
                <w:color w:val="C45911" w:themeColor="accent2" w:themeShade="BF"/>
                <w:sz w:val="20"/>
                <w:szCs w:val="20"/>
              </w:rPr>
              <w:t xml:space="preserve">Identifica-se a existência de formações de sapal na Reserva Natural do Sapal de Castro Marim – Vila Real de Santo António, no Parque Natural da Ria Formosa, na Ria de Alvor, na foz da Ribeira de Alcantarilha/Sapais de </w:t>
            </w:r>
            <w:proofErr w:type="spellStart"/>
            <w:r w:rsidRPr="008056DD">
              <w:rPr>
                <w:rFonts w:asciiTheme="minorHAnsi" w:hAnsiTheme="minorHAnsi"/>
                <w:color w:val="C45911" w:themeColor="accent2" w:themeShade="BF"/>
                <w:sz w:val="20"/>
                <w:szCs w:val="20"/>
              </w:rPr>
              <w:t>Pêra</w:t>
            </w:r>
            <w:proofErr w:type="spellEnd"/>
            <w:r w:rsidRPr="008056DD">
              <w:rPr>
                <w:rFonts w:asciiTheme="minorHAnsi" w:hAnsiTheme="minorHAnsi"/>
                <w:color w:val="C45911" w:themeColor="accent2" w:themeShade="BF"/>
                <w:sz w:val="20"/>
                <w:szCs w:val="20"/>
              </w:rPr>
              <w:t xml:space="preserve">, no </w:t>
            </w:r>
            <w:proofErr w:type="spellStart"/>
            <w:r w:rsidRPr="008056DD">
              <w:rPr>
                <w:rFonts w:asciiTheme="minorHAnsi" w:hAnsiTheme="minorHAnsi"/>
                <w:color w:val="C45911" w:themeColor="accent2" w:themeShade="BF"/>
                <w:sz w:val="20"/>
                <w:szCs w:val="20"/>
              </w:rPr>
              <w:t>Paúl</w:t>
            </w:r>
            <w:proofErr w:type="spellEnd"/>
            <w:r w:rsidRPr="008056DD">
              <w:rPr>
                <w:rFonts w:asciiTheme="minorHAnsi" w:hAnsiTheme="minorHAnsi"/>
                <w:color w:val="C45911" w:themeColor="accent2" w:themeShade="BF"/>
                <w:sz w:val="20"/>
                <w:szCs w:val="20"/>
              </w:rPr>
              <w:t xml:space="preserve"> de Budens e na foz da Ribeira de Aljezur.</w:t>
            </w:r>
          </w:p>
          <w:p w:rsidR="008056DD" w:rsidRPr="008056DD" w:rsidRDefault="008056DD" w:rsidP="00422172">
            <w:pPr>
              <w:spacing w:after="0" w:line="240" w:lineRule="auto"/>
              <w:rPr>
                <w:rFonts w:asciiTheme="minorHAnsi" w:hAnsiTheme="minorHAnsi"/>
                <w: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lastRenderedPageBreak/>
              <w:t>Ilhéus e rochedos emersos no mar</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D6708D" w:rsidRDefault="0092765C" w:rsidP="00D6708D">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 xml:space="preserve">Figueira da Foz, Praia de Buarcos, Cabo Mondego, Zona das arribas de S. Pedro de Moel, demarcação pela LMBMAVE não disponibilizada pela </w:t>
            </w:r>
            <w:r w:rsidR="00201B5A">
              <w:rPr>
                <w:rFonts w:asciiTheme="minorHAnsi" w:hAnsiTheme="minorHAnsi"/>
                <w:color w:val="2E74B5" w:themeColor="accent1" w:themeShade="BF"/>
                <w:sz w:val="20"/>
                <w:szCs w:val="20"/>
              </w:rPr>
              <w:t>APA/</w:t>
            </w:r>
            <w:r w:rsidRPr="00D6708D">
              <w:rPr>
                <w:rFonts w:asciiTheme="minorHAnsi" w:hAnsiTheme="minorHAnsi"/>
                <w:color w:val="2E74B5" w:themeColor="accent1" w:themeShade="BF"/>
                <w:sz w:val="20"/>
                <w:szCs w:val="20"/>
              </w:rPr>
              <w:t>ARH Centro</w:t>
            </w:r>
          </w:p>
        </w:tc>
        <w:tc>
          <w:tcPr>
            <w:tcW w:w="4110" w:type="dxa"/>
          </w:tcPr>
          <w:p w:rsidR="00786483" w:rsidRPr="00A43990" w:rsidRDefault="00786483" w:rsidP="009205DE">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56.</w:t>
            </w:r>
          </w:p>
          <w:p w:rsidR="00786483" w:rsidRPr="00A43990" w:rsidRDefault="00786483" w:rsidP="009205DE">
            <w:pPr>
              <w:spacing w:after="0" w:line="240" w:lineRule="auto"/>
              <w:rPr>
                <w:rFonts w:asciiTheme="minorHAnsi" w:hAnsiTheme="minorHAnsi"/>
                <w:i/>
                <w:color w:val="833C0B" w:themeColor="accent2" w:themeShade="80"/>
                <w:sz w:val="20"/>
                <w:szCs w:val="20"/>
              </w:rPr>
            </w:pPr>
          </w:p>
          <w:p w:rsidR="009205DE" w:rsidRPr="00A43990" w:rsidRDefault="009205DE" w:rsidP="009205DE">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Dos vários ilhéus e rochedos que emergem no litoral de Lisboa e Vale do Tejo são de destacar os que compõem o arquipélago da Berlenga.</w:t>
            </w:r>
          </w:p>
          <w:p w:rsidR="004B3B9E" w:rsidRPr="00A43990" w:rsidRDefault="004B3B9E" w:rsidP="009205DE">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F329C6" w:rsidRDefault="00F329C6" w:rsidP="00422172">
            <w:pPr>
              <w:spacing w:after="0" w:line="240" w:lineRule="auto"/>
              <w:rPr>
                <w:rFonts w:asciiTheme="minorHAnsi" w:hAnsiTheme="minorHAnsi"/>
                <w:i/>
                <w:color w:val="C45911" w:themeColor="accent2" w:themeShade="BF"/>
                <w:sz w:val="20"/>
                <w:szCs w:val="20"/>
              </w:rPr>
            </w:pPr>
            <w:r w:rsidRPr="008056DD">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 28.</w:t>
            </w:r>
          </w:p>
          <w:p w:rsidR="00422172" w:rsidRDefault="003F3C42" w:rsidP="00422172">
            <w:pPr>
              <w:spacing w:after="0" w:line="240" w:lineRule="auto"/>
              <w:rPr>
                <w:rFonts w:asciiTheme="minorHAnsi" w:hAnsiTheme="minorHAnsi"/>
                <w:color w:val="C45911" w:themeColor="accent2" w:themeShade="BF"/>
                <w:sz w:val="20"/>
                <w:szCs w:val="20"/>
              </w:rPr>
            </w:pPr>
            <w:r w:rsidRPr="003F3C42">
              <w:rPr>
                <w:rFonts w:asciiTheme="minorHAnsi" w:hAnsiTheme="minorHAnsi"/>
                <w:color w:val="C45911" w:themeColor="accent2" w:themeShade="BF"/>
                <w:sz w:val="20"/>
                <w:szCs w:val="20"/>
              </w:rPr>
              <w:t>A frente costeira do Barlavento Algarvio caracteriza-se pela vasta existência de ilhéus e rochedos emersos no mar, alguns com dimensões consideráveis, situação que se estende à costa ocidental da região.</w:t>
            </w:r>
          </w:p>
          <w:p w:rsidR="003F3C42" w:rsidRPr="003F3C42" w:rsidRDefault="003F3C42" w:rsidP="00422172">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t>Dunas costeiras e dunas fósseis</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92765C" w:rsidRPr="00D6708D" w:rsidRDefault="0092765C" w:rsidP="0092765C">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Aplicação da metodologia das OENR, adicionalmente, a delimitação deve ser ajustada à melhor base cartográfica disponível.</w:t>
            </w:r>
          </w:p>
          <w:p w:rsidR="00422172" w:rsidRPr="00D6708D" w:rsidRDefault="0092765C" w:rsidP="00D6708D">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No entanto, na aplicação da metodologia e critérios definidos, verifica-se que, ao incluir formações geológicas dunares, a delimitação das ‘dunas costeiras’ se estende a vários quilómetros da costa, indo muito para além dos 2km da Zona Costeira, em todos os municípios com frente marítima. Tendo presente os usos e ações compatíveis com esta tipologia, somos de opinião que deve ser reponderado o critério de delimitação que tem por base as formações geológicas em presença na carta geológica</w:t>
            </w:r>
          </w:p>
        </w:tc>
        <w:tc>
          <w:tcPr>
            <w:tcW w:w="4110" w:type="dxa"/>
          </w:tcPr>
          <w:p w:rsidR="00786483" w:rsidRPr="00A43990" w:rsidRDefault="00786483" w:rsidP="00422172">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57 a 59.</w:t>
            </w:r>
          </w:p>
          <w:p w:rsidR="00786483" w:rsidRPr="00A43990" w:rsidRDefault="00786483" w:rsidP="00422172">
            <w:pPr>
              <w:spacing w:after="0" w:line="240" w:lineRule="auto"/>
              <w:rPr>
                <w:rFonts w:asciiTheme="minorHAnsi" w:hAnsiTheme="minorHAnsi"/>
                <w:i/>
                <w:color w:val="833C0B" w:themeColor="accent2" w:themeShade="80"/>
                <w:sz w:val="20"/>
                <w:szCs w:val="20"/>
              </w:rPr>
            </w:pPr>
          </w:p>
          <w:p w:rsidR="005D3C8F" w:rsidRPr="00A43990" w:rsidRDefault="005D3C8F" w:rsidP="0042217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u w:val="single"/>
              </w:rPr>
              <w:t>Dunas Costeiras</w:t>
            </w:r>
          </w:p>
          <w:p w:rsidR="005D3C8F" w:rsidRPr="00A43990" w:rsidRDefault="004B3B9E" w:rsidP="004B3B9E">
            <w:pPr>
              <w:spacing w:after="0" w:line="240" w:lineRule="auto"/>
              <w:rPr>
                <w:rFonts w:asciiTheme="minorHAnsi" w:hAnsiTheme="minorHAnsi"/>
                <w:color w:val="833C0B" w:themeColor="accent2" w:themeShade="80"/>
                <w:sz w:val="20"/>
                <w:szCs w:val="20"/>
              </w:rPr>
            </w:pPr>
            <w:r w:rsidRPr="00A43990">
              <w:rPr>
                <w:rFonts w:asciiTheme="minorHAnsi" w:hAnsiTheme="minorHAnsi"/>
                <w:b/>
                <w:color w:val="833C0B" w:themeColor="accent2" w:themeShade="80"/>
                <w:sz w:val="20"/>
                <w:szCs w:val="20"/>
              </w:rPr>
              <w:t>-</w:t>
            </w:r>
            <w:r w:rsidR="005D3C8F" w:rsidRPr="00A43990">
              <w:rPr>
                <w:rFonts w:asciiTheme="minorHAnsi" w:hAnsiTheme="minorHAnsi"/>
                <w:b/>
                <w:color w:val="833C0B" w:themeColor="accent2" w:themeShade="80"/>
                <w:sz w:val="20"/>
                <w:szCs w:val="20"/>
              </w:rPr>
              <w:t>Limites lateral e interior</w:t>
            </w:r>
            <w:r w:rsidR="005D3C8F" w:rsidRPr="00A43990">
              <w:rPr>
                <w:rFonts w:asciiTheme="minorHAnsi" w:hAnsiTheme="minorHAnsi"/>
                <w:color w:val="833C0B" w:themeColor="accent2" w:themeShade="80"/>
                <w:sz w:val="20"/>
                <w:szCs w:val="20"/>
              </w:rPr>
              <w:t>: limite interior natural de areias eólicas, com morfologias e vegetação características de estruturas dunares ou de mantos de areia, localizada</w:t>
            </w:r>
            <w:r w:rsidRPr="00A43990">
              <w:rPr>
                <w:rFonts w:asciiTheme="minorHAnsi" w:hAnsiTheme="minorHAnsi"/>
                <w:color w:val="833C0B" w:themeColor="accent2" w:themeShade="80"/>
                <w:sz w:val="20"/>
                <w:szCs w:val="20"/>
              </w:rPr>
              <w:t>s no interior da Zona Costeira</w:t>
            </w:r>
            <w:r w:rsidR="005D3C8F" w:rsidRPr="00A43990">
              <w:rPr>
                <w:rFonts w:asciiTheme="minorHAnsi" w:hAnsiTheme="minorHAnsi"/>
                <w:color w:val="833C0B" w:themeColor="accent2" w:themeShade="80"/>
                <w:sz w:val="20"/>
                <w:szCs w:val="20"/>
              </w:rPr>
              <w:t>.</w:t>
            </w:r>
          </w:p>
          <w:p w:rsidR="005D3C8F" w:rsidRPr="00A43990" w:rsidRDefault="005D3C8F" w:rsidP="005D3C8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Sempre que ocorram estruturas dunares com morfologias e vegetação características, ou com indícios de atividade nas últimas décadas, em continuidade espacial e funcional com praias, tômbolos e restingas, que excedam a faixa abrangida pela Zona Costeira, a delimitação deve englobar estas estruturas.</w:t>
            </w:r>
          </w:p>
          <w:p w:rsidR="00FB3D1D" w:rsidRPr="00A43990" w:rsidRDefault="00FB3D1D" w:rsidP="005D3C8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As áreas interiores correspondentes às areias eólicas com morfologias e vegetação características de estruturas dunares ou de mantos de areia devem ser individualizadas e designadas por “dunas interiores” ou “mantos de areia”.</w:t>
            </w:r>
          </w:p>
          <w:p w:rsidR="005D3C8F" w:rsidRPr="00A43990" w:rsidRDefault="005D3C8F" w:rsidP="005D3C8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delimitação de dunas localizadas sobre arribas é feita independentemente da delimitação das arribas e respetivas faixas de proteção.</w:t>
            </w:r>
          </w:p>
          <w:p w:rsidR="00514B49" w:rsidRPr="00A43990" w:rsidRDefault="00514B49" w:rsidP="005D3C8F">
            <w:pPr>
              <w:spacing w:after="0" w:line="240" w:lineRule="auto"/>
              <w:rPr>
                <w:rFonts w:asciiTheme="minorHAnsi" w:hAnsiTheme="minorHAnsi"/>
                <w:color w:val="833C0B" w:themeColor="accent2" w:themeShade="80"/>
                <w:sz w:val="20"/>
                <w:szCs w:val="20"/>
                <w:u w:val="single"/>
              </w:rPr>
            </w:pPr>
          </w:p>
          <w:p w:rsidR="005D3C8F" w:rsidRPr="00A43990" w:rsidRDefault="005D3C8F" w:rsidP="005D3C8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u w:val="single"/>
              </w:rPr>
              <w:t>Dunas Fósseis</w:t>
            </w:r>
            <w:r w:rsidRPr="00A43990">
              <w:rPr>
                <w:rFonts w:asciiTheme="minorHAnsi" w:hAnsiTheme="minorHAnsi"/>
                <w:color w:val="833C0B" w:themeColor="accent2" w:themeShade="80"/>
                <w:sz w:val="20"/>
                <w:szCs w:val="20"/>
              </w:rPr>
              <w:t>:</w:t>
            </w:r>
          </w:p>
          <w:p w:rsidR="005D3C8F" w:rsidRPr="00A43990" w:rsidRDefault="005D3C8F" w:rsidP="005D3C8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Este tipo de dunas situa-se nos concelhos de Peniche (a norte do tômbolo de Peniche), Torres Vedras (na Praia Azul), Sintra (S. Julião e Magoito), Cascais (Oitavos) e Sesimbra (Forte da Baralha</w:t>
            </w:r>
            <w:r w:rsidR="000148A2" w:rsidRPr="00A43990">
              <w:rPr>
                <w:rFonts w:asciiTheme="minorHAnsi" w:hAnsiTheme="minorHAnsi"/>
                <w:color w:val="833C0B" w:themeColor="accent2" w:themeShade="80"/>
                <w:sz w:val="20"/>
                <w:szCs w:val="20"/>
              </w:rPr>
              <w:t>-</w:t>
            </w:r>
            <w:r w:rsidRPr="00A43990">
              <w:rPr>
                <w:rFonts w:asciiTheme="minorHAnsi" w:hAnsiTheme="minorHAnsi"/>
                <w:color w:val="833C0B" w:themeColor="accent2" w:themeShade="80"/>
                <w:sz w:val="20"/>
                <w:szCs w:val="20"/>
              </w:rPr>
              <w:t>Arrábida).</w:t>
            </w:r>
          </w:p>
          <w:p w:rsidR="005D3C8F" w:rsidRPr="00A43990" w:rsidRDefault="005D3C8F" w:rsidP="005D3C8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delimitação de dunas localizadas sobre arribas é feita independentemente destas.</w:t>
            </w:r>
          </w:p>
          <w:p w:rsidR="004B3B9E" w:rsidRPr="00A43990" w:rsidRDefault="004B3B9E" w:rsidP="005D3C8F">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F0725C" w:rsidP="00F0725C">
            <w:pPr>
              <w:spacing w:after="0" w:line="240" w:lineRule="auto"/>
              <w:rPr>
                <w:rFonts w:asciiTheme="minorHAnsi" w:hAnsiTheme="minorHAnsi"/>
                <w:color w:val="BF8F00" w:themeColor="accent4" w:themeShade="BF"/>
                <w:sz w:val="20"/>
                <w:szCs w:val="20"/>
              </w:rPr>
            </w:pPr>
            <w:r>
              <w:rPr>
                <w:rFonts w:asciiTheme="minorHAnsi" w:hAnsiTheme="minorHAnsi"/>
                <w:color w:val="BF8F00" w:themeColor="accent4" w:themeShade="BF"/>
                <w:sz w:val="20"/>
                <w:szCs w:val="20"/>
              </w:rPr>
              <w:t>Aferição,</w:t>
            </w:r>
            <w:r w:rsidRPr="00C138AF">
              <w:rPr>
                <w:rFonts w:asciiTheme="minorHAnsi" w:hAnsiTheme="minorHAnsi"/>
                <w:color w:val="BF8F00" w:themeColor="accent4" w:themeShade="BF"/>
                <w:sz w:val="20"/>
                <w:szCs w:val="20"/>
              </w:rPr>
              <w:t xml:space="preserve"> </w:t>
            </w:r>
            <w:r w:rsidR="00422172" w:rsidRPr="00C138AF">
              <w:rPr>
                <w:rFonts w:asciiTheme="minorHAnsi" w:hAnsiTheme="minorHAnsi"/>
                <w:color w:val="BF8F00" w:themeColor="accent4" w:themeShade="BF"/>
                <w:sz w:val="20"/>
                <w:szCs w:val="20"/>
              </w:rPr>
              <w:t>com precisão</w:t>
            </w:r>
            <w:r>
              <w:rPr>
                <w:rFonts w:asciiTheme="minorHAnsi" w:hAnsiTheme="minorHAnsi"/>
                <w:color w:val="BF8F00" w:themeColor="accent4" w:themeShade="BF"/>
                <w:sz w:val="20"/>
                <w:szCs w:val="20"/>
              </w:rPr>
              <w:t>,</w:t>
            </w:r>
            <w:r w:rsidR="00422172" w:rsidRPr="00C138AF">
              <w:rPr>
                <w:rFonts w:asciiTheme="minorHAnsi" w:hAnsiTheme="minorHAnsi"/>
                <w:color w:val="BF8F00" w:themeColor="accent4" w:themeShade="BF"/>
                <w:sz w:val="20"/>
                <w:szCs w:val="20"/>
              </w:rPr>
              <w:t xml:space="preserve"> </w:t>
            </w:r>
            <w:r>
              <w:rPr>
                <w:rFonts w:asciiTheme="minorHAnsi" w:hAnsiTheme="minorHAnsi"/>
                <w:color w:val="BF8F00" w:themeColor="accent4" w:themeShade="BF"/>
                <w:sz w:val="20"/>
                <w:szCs w:val="20"/>
              </w:rPr>
              <w:t>d</w:t>
            </w:r>
            <w:r w:rsidR="00422172" w:rsidRPr="00C138AF">
              <w:rPr>
                <w:rFonts w:asciiTheme="minorHAnsi" w:hAnsiTheme="minorHAnsi"/>
                <w:color w:val="BF8F00" w:themeColor="accent4" w:themeShade="BF"/>
                <w:sz w:val="20"/>
                <w:szCs w:val="20"/>
              </w:rPr>
              <w:t>os limites da tipologia</w:t>
            </w:r>
            <w:r>
              <w:rPr>
                <w:rFonts w:asciiTheme="minorHAnsi" w:hAnsiTheme="minorHAnsi"/>
                <w:color w:val="BF8F00" w:themeColor="accent4" w:themeShade="BF"/>
                <w:sz w:val="20"/>
                <w:szCs w:val="20"/>
              </w:rPr>
              <w:t xml:space="preserve">, com recurso ao </w:t>
            </w:r>
            <w:r w:rsidRPr="00C138AF">
              <w:rPr>
                <w:rFonts w:asciiTheme="minorHAnsi" w:hAnsiTheme="minorHAnsi"/>
                <w:color w:val="BF8F00" w:themeColor="accent4" w:themeShade="BF"/>
                <w:sz w:val="20"/>
                <w:szCs w:val="20"/>
              </w:rPr>
              <w:t xml:space="preserve">uso dos </w:t>
            </w:r>
            <w:proofErr w:type="spellStart"/>
            <w:r w:rsidRPr="00C138AF">
              <w:rPr>
                <w:rFonts w:asciiTheme="minorHAnsi" w:hAnsiTheme="minorHAnsi"/>
                <w:color w:val="BF8F00" w:themeColor="accent4" w:themeShade="BF"/>
                <w:sz w:val="20"/>
                <w:szCs w:val="20"/>
              </w:rPr>
              <w:t>ortofotomapas</w:t>
            </w:r>
            <w:proofErr w:type="spellEnd"/>
            <w:r w:rsidRPr="00C138AF">
              <w:rPr>
                <w:rFonts w:asciiTheme="minorHAnsi" w:hAnsiTheme="minorHAnsi"/>
                <w:color w:val="BF8F00" w:themeColor="accent4" w:themeShade="BF"/>
                <w:sz w:val="20"/>
                <w:szCs w:val="20"/>
              </w:rPr>
              <w:t xml:space="preserve"> do IGP à escala 1/2000</w:t>
            </w:r>
            <w:r w:rsidR="00422172" w:rsidRPr="00C138AF">
              <w:rPr>
                <w:rFonts w:asciiTheme="minorHAnsi" w:hAnsiTheme="minorHAnsi"/>
                <w:color w:val="BF8F00" w:themeColor="accent4" w:themeShade="BF"/>
                <w:sz w:val="20"/>
                <w:szCs w:val="20"/>
              </w:rPr>
              <w:t>.</w:t>
            </w:r>
          </w:p>
        </w:tc>
        <w:tc>
          <w:tcPr>
            <w:tcW w:w="4110" w:type="dxa"/>
          </w:tcPr>
          <w:p w:rsidR="00207140" w:rsidRDefault="00207140" w:rsidP="003F3C42">
            <w:pPr>
              <w:spacing w:after="0" w:line="240" w:lineRule="auto"/>
              <w:rPr>
                <w:rFonts w:asciiTheme="minorHAnsi" w:hAnsiTheme="minorHAnsi"/>
                <w:i/>
                <w:color w:val="C45911" w:themeColor="accent2" w:themeShade="BF"/>
                <w:sz w:val="20"/>
                <w:szCs w:val="20"/>
              </w:rPr>
            </w:pPr>
            <w:r w:rsidRPr="008056DD">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áginas 29 a 31.</w:t>
            </w:r>
          </w:p>
          <w:p w:rsidR="003F3C42" w:rsidRPr="003F3C42" w:rsidRDefault="003F3C42" w:rsidP="003F3C42">
            <w:pPr>
              <w:spacing w:after="0" w:line="240" w:lineRule="auto"/>
              <w:rPr>
                <w:rFonts w:asciiTheme="minorHAnsi" w:hAnsiTheme="minorHAnsi"/>
                <w:color w:val="C45911" w:themeColor="accent2" w:themeShade="BF"/>
                <w:sz w:val="20"/>
                <w:szCs w:val="20"/>
              </w:rPr>
            </w:pPr>
            <w:r w:rsidRPr="003F3C42">
              <w:rPr>
                <w:rFonts w:asciiTheme="minorHAnsi" w:hAnsiTheme="minorHAnsi"/>
                <w:color w:val="C45911" w:themeColor="accent2" w:themeShade="BF"/>
                <w:sz w:val="20"/>
                <w:szCs w:val="20"/>
              </w:rPr>
              <w:t>A delimitação das dunas fósseis deve ser precedida de caracterização específica, nomeadamente ao nível dos conteúdos geológico e geomorfológico, envolvendo trabalho de campo, a realizar por especialistas. Estas têm expressão, sobretudo, na costa ocidental, nos sectores de Monte Clérigo, Atalaia, Bordeira e Praia do Amado.</w:t>
            </w:r>
          </w:p>
          <w:p w:rsidR="003F3C42" w:rsidRPr="003F3C42" w:rsidRDefault="003F3C42" w:rsidP="003F3C42">
            <w:pPr>
              <w:spacing w:after="0" w:line="240" w:lineRule="auto"/>
              <w:rPr>
                <w:rFonts w:asciiTheme="minorHAnsi" w:hAnsiTheme="minorHAnsi"/>
                <w:color w:val="C45911" w:themeColor="accent2" w:themeShade="BF"/>
                <w:sz w:val="20"/>
                <w:szCs w:val="20"/>
              </w:rPr>
            </w:pPr>
          </w:p>
          <w:p w:rsidR="00422172" w:rsidRDefault="003F3C42" w:rsidP="003F3C42">
            <w:pPr>
              <w:spacing w:after="0" w:line="240" w:lineRule="auto"/>
              <w:rPr>
                <w:rFonts w:asciiTheme="minorHAnsi" w:hAnsiTheme="minorHAnsi"/>
                <w:color w:val="C45911" w:themeColor="accent2" w:themeShade="BF"/>
                <w:sz w:val="20"/>
                <w:szCs w:val="20"/>
              </w:rPr>
            </w:pPr>
            <w:r w:rsidRPr="003F3C42">
              <w:rPr>
                <w:rFonts w:asciiTheme="minorHAnsi" w:hAnsiTheme="minorHAnsi"/>
                <w:color w:val="C45911" w:themeColor="accent2" w:themeShade="BF"/>
                <w:sz w:val="20"/>
                <w:szCs w:val="20"/>
              </w:rPr>
              <w:t xml:space="preserve">As dunas costeiras acompanham toda a frente costeira do sotavento algarvio, até à zona de Quarteira, e retomam a sua expressão nos sectores correspondentes à Praia Grande/Armação de </w:t>
            </w:r>
            <w:proofErr w:type="spellStart"/>
            <w:r w:rsidRPr="003F3C42">
              <w:rPr>
                <w:rFonts w:asciiTheme="minorHAnsi" w:hAnsiTheme="minorHAnsi"/>
                <w:color w:val="C45911" w:themeColor="accent2" w:themeShade="BF"/>
                <w:sz w:val="20"/>
                <w:szCs w:val="20"/>
              </w:rPr>
              <w:t>Pêra</w:t>
            </w:r>
            <w:proofErr w:type="spellEnd"/>
            <w:r w:rsidRPr="003F3C42">
              <w:rPr>
                <w:rFonts w:asciiTheme="minorHAnsi" w:hAnsiTheme="minorHAnsi"/>
                <w:color w:val="C45911" w:themeColor="accent2" w:themeShade="BF"/>
                <w:sz w:val="20"/>
                <w:szCs w:val="20"/>
              </w:rPr>
              <w:t>, à Ria de Alvor. Na costa ocidental algarvia assumem particular importância os sistemas dunares nos sectores da Carrapateira, da praia da Amoreira e da praia do Amado. Na faixa abrangida pelo Parque Natural da Ria Formosa revelam, genericamente, grande mobilidade, dadas as condições de formação e a dinâmica geomorfológica associada.</w:t>
            </w:r>
          </w:p>
          <w:p w:rsidR="003F3C42" w:rsidRPr="003F3C42" w:rsidRDefault="003F3C42" w:rsidP="003F3C42">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t>Arribas e respetivas faixas de proteção</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92765C" w:rsidRPr="00D6708D" w:rsidRDefault="0092765C" w:rsidP="0092765C">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Cabo Mondego e Praia de S. Pedro de Moel: após a sua identificação a arriba será delimitada, na base, pela LMPMAVE</w:t>
            </w:r>
            <w:r w:rsidR="00514B49">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 xml:space="preserve">(fornecida pela </w:t>
            </w:r>
            <w:r w:rsidR="00201B5A">
              <w:rPr>
                <w:rFonts w:asciiTheme="minorHAnsi" w:hAnsiTheme="minorHAnsi"/>
                <w:color w:val="2E74B5" w:themeColor="accent1" w:themeShade="BF"/>
                <w:sz w:val="20"/>
                <w:szCs w:val="20"/>
              </w:rPr>
              <w:t>APA/</w:t>
            </w:r>
            <w:r w:rsidRPr="00D6708D">
              <w:rPr>
                <w:rFonts w:asciiTheme="minorHAnsi" w:hAnsiTheme="minorHAnsi"/>
                <w:color w:val="2E74B5" w:themeColor="accent1" w:themeShade="BF"/>
                <w:sz w:val="20"/>
                <w:szCs w:val="20"/>
              </w:rPr>
              <w:t xml:space="preserve">AHR Centro) e no rebordo superior através da visualização dos </w:t>
            </w:r>
            <w:proofErr w:type="spellStart"/>
            <w:r w:rsidRPr="00D6708D">
              <w:rPr>
                <w:rFonts w:asciiTheme="minorHAnsi" w:hAnsiTheme="minorHAnsi"/>
                <w:color w:val="2E74B5" w:themeColor="accent1" w:themeShade="BF"/>
                <w:sz w:val="20"/>
                <w:szCs w:val="20"/>
              </w:rPr>
              <w:t>ortofotomapas</w:t>
            </w:r>
            <w:proofErr w:type="spellEnd"/>
            <w:r w:rsidRPr="00D6708D">
              <w:rPr>
                <w:rFonts w:asciiTheme="minorHAnsi" w:hAnsiTheme="minorHAnsi"/>
                <w:color w:val="2E74B5" w:themeColor="accent1" w:themeShade="BF"/>
                <w:sz w:val="20"/>
                <w:szCs w:val="20"/>
              </w:rPr>
              <w:t xml:space="preserve"> e da </w:t>
            </w:r>
            <w:r w:rsidRPr="00D6708D">
              <w:rPr>
                <w:rFonts w:asciiTheme="minorHAnsi" w:hAnsiTheme="minorHAnsi"/>
                <w:color w:val="2E74B5" w:themeColor="accent1" w:themeShade="BF"/>
                <w:sz w:val="20"/>
                <w:szCs w:val="20"/>
              </w:rPr>
              <w:lastRenderedPageBreak/>
              <w:t>altimetria.</w:t>
            </w:r>
          </w:p>
          <w:p w:rsidR="00422172" w:rsidRPr="00D6708D" w:rsidRDefault="0092765C" w:rsidP="00D6708D">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Relativamente à faixa de proteção da arriba, de acordo com os procedimentos metodológicos, serão aplicados 200 metros a partir do rebordo superior e a partir do sopé.</w:t>
            </w:r>
          </w:p>
        </w:tc>
        <w:tc>
          <w:tcPr>
            <w:tcW w:w="4110" w:type="dxa"/>
          </w:tcPr>
          <w:p w:rsidR="00422172" w:rsidRPr="00A43990" w:rsidRDefault="00422172" w:rsidP="00422172">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lastRenderedPageBreak/>
              <w:t>Guia metodológico para delimitação da Reserva Ecológica Nacional em Lisboa e Vale do Tejo – páginas 60 a 66</w:t>
            </w:r>
            <w:r w:rsidR="004B3B9E" w:rsidRPr="00A43990">
              <w:rPr>
                <w:rFonts w:asciiTheme="minorHAnsi" w:hAnsiTheme="minorHAnsi"/>
                <w:i/>
                <w:color w:val="833C0B" w:themeColor="accent2" w:themeShade="80"/>
                <w:sz w:val="20"/>
                <w:szCs w:val="20"/>
              </w:rPr>
              <w:t>.</w:t>
            </w:r>
          </w:p>
          <w:p w:rsidR="00786483" w:rsidRPr="00A43990" w:rsidRDefault="00786483" w:rsidP="00422172">
            <w:pPr>
              <w:spacing w:after="0" w:line="240" w:lineRule="auto"/>
              <w:rPr>
                <w:rFonts w:asciiTheme="minorHAnsi" w:hAnsiTheme="minorHAnsi"/>
                <w:i/>
                <w:color w:val="833C0B" w:themeColor="accent2" w:themeShade="80"/>
                <w:sz w:val="20"/>
                <w:szCs w:val="20"/>
              </w:rPr>
            </w:pPr>
          </w:p>
          <w:p w:rsidR="0029673C" w:rsidRPr="00A43990" w:rsidRDefault="0029673C" w:rsidP="00422172">
            <w:pPr>
              <w:spacing w:after="0" w:line="240" w:lineRule="auto"/>
              <w:rPr>
                <w:rFonts w:asciiTheme="minorHAnsi" w:hAnsiTheme="minorHAnsi"/>
                <w:color w:val="833C0B" w:themeColor="accent2" w:themeShade="80"/>
                <w:sz w:val="20"/>
                <w:szCs w:val="20"/>
                <w:u w:val="single"/>
              </w:rPr>
            </w:pPr>
            <w:r w:rsidRPr="00A43990">
              <w:rPr>
                <w:rFonts w:asciiTheme="minorHAnsi" w:hAnsiTheme="minorHAnsi"/>
                <w:color w:val="833C0B" w:themeColor="accent2" w:themeShade="80"/>
                <w:sz w:val="20"/>
                <w:szCs w:val="20"/>
                <w:u w:val="single"/>
              </w:rPr>
              <w:t>Arribas</w:t>
            </w:r>
          </w:p>
          <w:p w:rsidR="000D62B6" w:rsidRPr="00A43990" w:rsidRDefault="000D62B6">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lastRenderedPageBreak/>
              <w:t>Nos casos em que é visível o recuo da crista devido a fenómenos erosivos (como movimentos de massa e ravinamentos), considera-se como limite superior da arriba a cabeceira dos deslizamentos ou das ravinas</w:t>
            </w:r>
          </w:p>
          <w:p w:rsidR="00014668" w:rsidRPr="00A43990" w:rsidRDefault="00014668">
            <w:pPr>
              <w:spacing w:after="0" w:line="240" w:lineRule="auto"/>
              <w:rPr>
                <w:rFonts w:asciiTheme="minorHAnsi" w:hAnsiTheme="minorHAnsi"/>
                <w:color w:val="833C0B" w:themeColor="accent2" w:themeShade="80"/>
                <w:sz w:val="20"/>
                <w:szCs w:val="20"/>
              </w:rPr>
            </w:pPr>
          </w:p>
          <w:p w:rsidR="00014668" w:rsidRPr="00A43990" w:rsidRDefault="00014668">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u w:val="single"/>
              </w:rPr>
              <w:t>Faixas de proteção às arribas</w:t>
            </w:r>
            <w:r w:rsidRPr="00A43990">
              <w:rPr>
                <w:rFonts w:asciiTheme="minorHAnsi" w:hAnsiTheme="minorHAnsi"/>
                <w:color w:val="833C0B" w:themeColor="accent2" w:themeShade="80"/>
                <w:sz w:val="20"/>
                <w:szCs w:val="20"/>
              </w:rPr>
              <w:t>:</w:t>
            </w:r>
          </w:p>
          <w:p w:rsidR="00014668" w:rsidRPr="00A43990" w:rsidRDefault="00014668">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A delimitação da </w:t>
            </w:r>
            <w:r w:rsidRPr="00A43990">
              <w:rPr>
                <w:rFonts w:asciiTheme="minorHAnsi" w:hAnsiTheme="minorHAnsi"/>
                <w:b/>
                <w:color w:val="833C0B" w:themeColor="accent2" w:themeShade="80"/>
                <w:sz w:val="20"/>
                <w:szCs w:val="20"/>
              </w:rPr>
              <w:t>faixa de proteção a partir do rebordo superior</w:t>
            </w:r>
            <w:r w:rsidRPr="00A43990">
              <w:rPr>
                <w:rFonts w:asciiTheme="minorHAnsi" w:hAnsiTheme="minorHAnsi"/>
                <w:color w:val="833C0B" w:themeColor="accent2" w:themeShade="80"/>
                <w:sz w:val="20"/>
                <w:szCs w:val="20"/>
              </w:rPr>
              <w:t xml:space="preserve"> considera as características geológicas da arriba, a defesa da sua estabilidade, a prevenção de riscos e segurança de pessoas e bens e os valores paisagísticos e geológicos, devendo ser enformada pelo princípio da precaução</w:t>
            </w:r>
          </w:p>
          <w:p w:rsidR="00917527" w:rsidRPr="00A43990" w:rsidRDefault="00917527" w:rsidP="003B4224">
            <w:pPr>
              <w:spacing w:after="0" w:line="240" w:lineRule="auto"/>
              <w:rPr>
                <w:rFonts w:asciiTheme="minorHAnsi" w:hAnsiTheme="minorHAnsi"/>
                <w:color w:val="833C0B" w:themeColor="accent2" w:themeShade="80"/>
                <w:sz w:val="20"/>
                <w:szCs w:val="20"/>
              </w:rPr>
            </w:pPr>
          </w:p>
          <w:p w:rsidR="003B4224" w:rsidRPr="00A43990" w:rsidRDefault="003B4224" w:rsidP="00917527">
            <w:pPr>
              <w:pStyle w:val="PargrafodaLista"/>
              <w:numPr>
                <w:ilvl w:val="0"/>
                <w:numId w:val="22"/>
              </w:numPr>
              <w:spacing w:after="0" w:line="240" w:lineRule="auto"/>
              <w:rPr>
                <w:rFonts w:asciiTheme="minorHAnsi" w:hAnsiTheme="minorHAnsi"/>
                <w:b/>
                <w:color w:val="833C0B" w:themeColor="accent2" w:themeShade="80"/>
                <w:sz w:val="20"/>
                <w:szCs w:val="20"/>
              </w:rPr>
            </w:pPr>
            <w:r w:rsidRPr="00A43990">
              <w:rPr>
                <w:rFonts w:asciiTheme="minorHAnsi" w:hAnsiTheme="minorHAnsi"/>
                <w:b/>
                <w:color w:val="833C0B" w:themeColor="accent2" w:themeShade="80"/>
                <w:sz w:val="20"/>
                <w:szCs w:val="20"/>
              </w:rPr>
              <w:t>Faixa de proteção a partir do rebordo superior</w:t>
            </w:r>
          </w:p>
          <w:p w:rsidR="00851905" w:rsidRPr="00A43990" w:rsidRDefault="003B4224">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Componente risco</w:t>
            </w:r>
            <w:r w:rsidR="00514B49" w:rsidRPr="00A43990">
              <w:rPr>
                <w:rFonts w:asciiTheme="minorHAnsi" w:hAnsiTheme="minorHAnsi"/>
                <w:color w:val="833C0B" w:themeColor="accent2" w:themeShade="80"/>
                <w:sz w:val="20"/>
                <w:szCs w:val="20"/>
              </w:rPr>
              <w:t xml:space="preserve"> + C</w:t>
            </w:r>
            <w:r w:rsidRPr="00A43990">
              <w:rPr>
                <w:rFonts w:asciiTheme="minorHAnsi" w:hAnsiTheme="minorHAnsi"/>
                <w:color w:val="833C0B" w:themeColor="accent2" w:themeShade="80"/>
                <w:sz w:val="20"/>
                <w:szCs w:val="20"/>
              </w:rPr>
              <w:t xml:space="preserve">omponente valor geológico + </w:t>
            </w:r>
            <w:r w:rsidR="00514B49" w:rsidRPr="00A43990">
              <w:rPr>
                <w:rFonts w:asciiTheme="minorHAnsi" w:hAnsiTheme="minorHAnsi"/>
                <w:color w:val="833C0B" w:themeColor="accent2" w:themeShade="80"/>
                <w:sz w:val="20"/>
                <w:szCs w:val="20"/>
              </w:rPr>
              <w:t>C</w:t>
            </w:r>
            <w:r w:rsidRPr="00A43990">
              <w:rPr>
                <w:rFonts w:asciiTheme="minorHAnsi" w:hAnsiTheme="minorHAnsi"/>
                <w:color w:val="833C0B" w:themeColor="accent2" w:themeShade="80"/>
                <w:sz w:val="20"/>
                <w:szCs w:val="20"/>
              </w:rPr>
              <w:t>omponente valor paisagístico.</w:t>
            </w:r>
          </w:p>
          <w:p w:rsidR="00962322" w:rsidRPr="00A43990" w:rsidRDefault="00962322" w:rsidP="00962322">
            <w:pPr>
              <w:spacing w:after="0" w:line="240" w:lineRule="auto"/>
              <w:rPr>
                <w:rFonts w:asciiTheme="minorHAnsi" w:hAnsiTheme="minorHAnsi"/>
                <w:color w:val="833C0B" w:themeColor="accent2" w:themeShade="80"/>
                <w:sz w:val="20"/>
                <w:szCs w:val="20"/>
              </w:rPr>
            </w:pPr>
          </w:p>
          <w:p w:rsidR="0029673C" w:rsidRPr="00A43990" w:rsidRDefault="0029673C" w:rsidP="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Componente risco</w:t>
            </w:r>
          </w:p>
          <w:p w:rsidR="0029673C" w:rsidRPr="00A43990" w:rsidRDefault="00C46327" w:rsidP="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Determinar de acordo com o referido nas OENR.</w:t>
            </w:r>
          </w:p>
          <w:p w:rsidR="00C46327" w:rsidRPr="00A43990" w:rsidRDefault="00C46327" w:rsidP="00962322">
            <w:pPr>
              <w:spacing w:after="0" w:line="240" w:lineRule="auto"/>
              <w:rPr>
                <w:rFonts w:asciiTheme="minorHAnsi" w:hAnsiTheme="minorHAnsi"/>
                <w:color w:val="833C0B" w:themeColor="accent2" w:themeShade="80"/>
                <w:sz w:val="20"/>
                <w:szCs w:val="20"/>
              </w:rPr>
            </w:pPr>
          </w:p>
          <w:p w:rsidR="00962322" w:rsidRPr="00A43990" w:rsidRDefault="00962322" w:rsidP="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B. Componente valor geológico:</w:t>
            </w:r>
          </w:p>
          <w:p w:rsidR="00962322" w:rsidRPr="00A43990" w:rsidRDefault="00962322" w:rsidP="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Considerar a existência de formações e de cortes ou afloramentos rochosos de interesse didático ou científico.</w:t>
            </w:r>
          </w:p>
          <w:p w:rsidR="0029673C" w:rsidRPr="00A43990" w:rsidRDefault="0029673C" w:rsidP="00962322">
            <w:pPr>
              <w:spacing w:after="0" w:line="240" w:lineRule="auto"/>
              <w:rPr>
                <w:rFonts w:asciiTheme="minorHAnsi" w:hAnsiTheme="minorHAnsi"/>
                <w:color w:val="833C0B" w:themeColor="accent2" w:themeShade="80"/>
                <w:sz w:val="20"/>
                <w:szCs w:val="20"/>
              </w:rPr>
            </w:pPr>
          </w:p>
          <w:p w:rsidR="00962322" w:rsidRPr="00A43990" w:rsidRDefault="00962322" w:rsidP="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C. Componente valor paisagístico:</w:t>
            </w:r>
          </w:p>
          <w:p w:rsidR="00962322" w:rsidRPr="00A43990" w:rsidRDefault="00962322" w:rsidP="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Considerar a qualidade visual e sensibilidade da paisagem, os sistemas de vistas, entre outros aspetos identificados como relevantes, bem como as paisagens ou elementos singulares a preservar, recorrendo à utilização de metodologias adequadas.</w:t>
            </w:r>
          </w:p>
          <w:p w:rsidR="00962322" w:rsidRPr="00A43990" w:rsidRDefault="00962322" w:rsidP="00962322">
            <w:pPr>
              <w:spacing w:after="0" w:line="240" w:lineRule="auto"/>
              <w:rPr>
                <w:rFonts w:asciiTheme="minorHAnsi" w:hAnsiTheme="minorHAnsi"/>
                <w:color w:val="833C0B" w:themeColor="accent2" w:themeShade="80"/>
                <w:sz w:val="20"/>
                <w:szCs w:val="20"/>
              </w:rPr>
            </w:pPr>
          </w:p>
          <w:p w:rsidR="00962322" w:rsidRPr="00A43990" w:rsidRDefault="00962322" w:rsidP="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Simultaneamente nas componentes B e C:</w:t>
            </w:r>
          </w:p>
          <w:p w:rsidR="003B4224" w:rsidRPr="00A43990" w:rsidRDefault="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Arribas em terrenos calcários com morfologia cársica: incluir as formas do </w:t>
            </w:r>
            <w:proofErr w:type="spellStart"/>
            <w:r w:rsidRPr="00A43990">
              <w:rPr>
                <w:rFonts w:asciiTheme="minorHAnsi" w:hAnsiTheme="minorHAnsi"/>
                <w:color w:val="833C0B" w:themeColor="accent2" w:themeShade="80"/>
                <w:sz w:val="20"/>
                <w:szCs w:val="20"/>
              </w:rPr>
              <w:t>exocarso</w:t>
            </w:r>
            <w:proofErr w:type="spellEnd"/>
            <w:r w:rsidRPr="00A43990">
              <w:rPr>
                <w:rFonts w:asciiTheme="minorHAnsi" w:hAnsiTheme="minorHAnsi"/>
                <w:color w:val="833C0B" w:themeColor="accent2" w:themeShade="80"/>
                <w:sz w:val="20"/>
                <w:szCs w:val="20"/>
              </w:rPr>
              <w:t xml:space="preserve"> expostas (</w:t>
            </w:r>
            <w:proofErr w:type="spellStart"/>
            <w:r w:rsidRPr="00A43990">
              <w:rPr>
                <w:rFonts w:asciiTheme="minorHAnsi" w:hAnsiTheme="minorHAnsi"/>
                <w:color w:val="833C0B" w:themeColor="accent2" w:themeShade="80"/>
                <w:sz w:val="20"/>
                <w:szCs w:val="20"/>
              </w:rPr>
              <w:t>lapiás</w:t>
            </w:r>
            <w:proofErr w:type="spellEnd"/>
            <w:r w:rsidRPr="00A43990">
              <w:rPr>
                <w:rFonts w:asciiTheme="minorHAnsi" w:hAnsiTheme="minorHAnsi"/>
                <w:color w:val="833C0B" w:themeColor="accent2" w:themeShade="80"/>
                <w:sz w:val="20"/>
                <w:szCs w:val="20"/>
              </w:rPr>
              <w:t>, dolinas, algares) e uma faixa de terreno envolvente com largura mínima de 10 m.</w:t>
            </w:r>
          </w:p>
          <w:p w:rsidR="00962322" w:rsidRPr="00A43990" w:rsidRDefault="00962322" w:rsidP="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Arribas onde ocorram ravinas: incluir a totalidade destas formas, acrescida de uma faixa de terreno envolvente com largura que deve corresponder à estimativa da evolução destas estruturas à escala temporal de 100 anos. Para a definição desta faixa de terreno é utilizada a metodologia para determinação da componente risco para efeitos de cálculo da profundidade da faixa de proteção a partir do rebordo superior de arribas de evolução rápida, ou seja, a projeção da evolução passada para um horizonte temporal de 100 anos, acrescida do evento máximo registado no último meio século.</w:t>
            </w:r>
          </w:p>
          <w:p w:rsidR="00962322" w:rsidRPr="00A43990" w:rsidRDefault="0096232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Sem prejuízo do resultado da aplicação dos </w:t>
            </w:r>
            <w:r w:rsidRPr="00A43990">
              <w:rPr>
                <w:rFonts w:asciiTheme="minorHAnsi" w:hAnsiTheme="minorHAnsi"/>
                <w:color w:val="833C0B" w:themeColor="accent2" w:themeShade="80"/>
                <w:sz w:val="20"/>
                <w:szCs w:val="20"/>
              </w:rPr>
              <w:lastRenderedPageBreak/>
              <w:t>critérios atrás referidos, a grande fragilidade ambiental e paisagística e o elevado risco associado a este sistema, expressos na ocorrência de fenómenos de erosão costeira por vezes de enorme gravidade e na existência de áreas onde a instabilidade de vertentes apresenta grande magnitude, recomendam uma atitude preventiva. Verificando-se que as larguras médias das faixas de proteção a partir do rebordo superior atualmente em vigor se têm revelado adequadas face aos princípios de precaução e proteção a prosseguir, a profundidade da faixa de proteção a partir do rebordo superior não deve ser, na generalidade, inferior a 200 m medidos na horizontal.</w:t>
            </w:r>
          </w:p>
          <w:p w:rsidR="00962322" w:rsidRPr="00A43990" w:rsidRDefault="002B593B">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Junto das desembocaduras dos rios estender a delimitação no sentido do vale, contornando a área de arriba, de forma a englobar na faixa de proteção a área que lhe está associada.</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207140" w:rsidRDefault="00207140" w:rsidP="00AF1531">
            <w:pPr>
              <w:spacing w:after="0" w:line="240" w:lineRule="auto"/>
              <w:rPr>
                <w:rFonts w:asciiTheme="minorHAnsi" w:hAnsiTheme="minorHAnsi"/>
                <w:i/>
                <w:color w:val="C45911" w:themeColor="accent2" w:themeShade="BF"/>
                <w:sz w:val="20"/>
                <w:szCs w:val="20"/>
              </w:rPr>
            </w:pPr>
            <w:r w:rsidRPr="008056DD">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áginas 32 a 39.</w:t>
            </w:r>
          </w:p>
          <w:p w:rsidR="00AF1531" w:rsidRPr="00AF1531" w:rsidRDefault="00AF1531" w:rsidP="00AF1531">
            <w:pPr>
              <w:spacing w:after="0" w:line="240" w:lineRule="auto"/>
              <w:rPr>
                <w:rFonts w:asciiTheme="minorHAnsi" w:hAnsiTheme="minorHAnsi"/>
                <w:color w:val="C45911" w:themeColor="accent2" w:themeShade="BF"/>
                <w:sz w:val="20"/>
                <w:szCs w:val="20"/>
              </w:rPr>
            </w:pPr>
            <w:r w:rsidRPr="00AF1531">
              <w:rPr>
                <w:rFonts w:asciiTheme="minorHAnsi" w:hAnsiTheme="minorHAnsi"/>
                <w:color w:val="C45911" w:themeColor="accent2" w:themeShade="BF"/>
                <w:sz w:val="20"/>
                <w:szCs w:val="20"/>
              </w:rPr>
              <w:t xml:space="preserve">As arribas assumem maior expressão na frente costeira do Barlavento algarvio e no sector </w:t>
            </w:r>
            <w:r w:rsidRPr="00AF1531">
              <w:rPr>
                <w:rFonts w:asciiTheme="minorHAnsi" w:hAnsiTheme="minorHAnsi"/>
                <w:color w:val="C45911" w:themeColor="accent2" w:themeShade="BF"/>
                <w:sz w:val="20"/>
                <w:szCs w:val="20"/>
              </w:rPr>
              <w:lastRenderedPageBreak/>
              <w:t>litoral abrangido pelo Parque Natural do Sudoeste Alentejano e Costa Vicentina.</w:t>
            </w:r>
          </w:p>
          <w:p w:rsidR="00AF1531" w:rsidRPr="00AF1531" w:rsidRDefault="00AF1531" w:rsidP="00AF1531">
            <w:pPr>
              <w:spacing w:after="0" w:line="240" w:lineRule="auto"/>
              <w:rPr>
                <w:rFonts w:asciiTheme="minorHAnsi" w:hAnsiTheme="minorHAnsi"/>
                <w:color w:val="C45911" w:themeColor="accent2" w:themeShade="BF"/>
                <w:sz w:val="20"/>
                <w:szCs w:val="20"/>
              </w:rPr>
            </w:pPr>
            <w:r w:rsidRPr="00AF1531">
              <w:rPr>
                <w:rFonts w:asciiTheme="minorHAnsi" w:hAnsiTheme="minorHAnsi"/>
                <w:color w:val="C45911" w:themeColor="accent2" w:themeShade="BF"/>
                <w:sz w:val="20"/>
                <w:szCs w:val="20"/>
              </w:rPr>
              <w:t xml:space="preserve">As arribas de evolução rápida estão localizadas no litoral a leste de Quarteira até ao setor do Ancão/Quinta do Lago. As arribas talhadas em arenitos assumem grande expressão no setor entre a praia do Garrão/Vale do Lobo e Olhos de Água/Albufeira. </w:t>
            </w:r>
          </w:p>
          <w:p w:rsidR="00422172" w:rsidRDefault="00AF1531" w:rsidP="00AF1531">
            <w:pPr>
              <w:spacing w:after="0" w:line="240" w:lineRule="auto"/>
              <w:rPr>
                <w:rFonts w:asciiTheme="minorHAnsi" w:hAnsiTheme="minorHAnsi"/>
                <w:color w:val="C45911" w:themeColor="accent2" w:themeShade="BF"/>
                <w:sz w:val="20"/>
                <w:szCs w:val="20"/>
              </w:rPr>
            </w:pPr>
            <w:r w:rsidRPr="00AF1531">
              <w:rPr>
                <w:rFonts w:asciiTheme="minorHAnsi" w:hAnsiTheme="minorHAnsi"/>
                <w:color w:val="C45911" w:themeColor="accent2" w:themeShade="BF"/>
                <w:sz w:val="20"/>
                <w:szCs w:val="20"/>
              </w:rPr>
              <w:t>Tal como resulta do ponto 1.8 da Secção III das Orientações Estratégicas, a delimitação das faixas de proteção das arribas engloba as figuras de faixa de risco e faixa de proteção identificados nos Planos de Ordenamento da Orla Costeira de Sines-Burgau, Burgau-Vilamoura e Vilamoura-Vila Real de Santo António.</w:t>
            </w:r>
          </w:p>
          <w:p w:rsidR="00AF1531" w:rsidRPr="00AF1531" w:rsidRDefault="00AF1531" w:rsidP="00AF1531">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lastRenderedPageBreak/>
              <w:t>Faixa Terrestre de Proteção Costeira</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D6708D" w:rsidRDefault="0092765C" w:rsidP="00D6708D">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 xml:space="preserve">A aplicar a LMPMAVE disponibilizada pela </w:t>
            </w:r>
            <w:r w:rsidR="00201B5A">
              <w:rPr>
                <w:rFonts w:asciiTheme="minorHAnsi" w:hAnsiTheme="minorHAnsi"/>
                <w:color w:val="2E74B5" w:themeColor="accent1" w:themeShade="BF"/>
                <w:sz w:val="20"/>
                <w:szCs w:val="20"/>
              </w:rPr>
              <w:t>APA/</w:t>
            </w:r>
            <w:r w:rsidRPr="00D6708D">
              <w:rPr>
                <w:rFonts w:asciiTheme="minorHAnsi" w:hAnsiTheme="minorHAnsi"/>
                <w:color w:val="2E74B5" w:themeColor="accent1" w:themeShade="BF"/>
                <w:sz w:val="20"/>
                <w:szCs w:val="20"/>
              </w:rPr>
              <w:t>ARH Centro, refere-se a dificuldade na aplicação do efeito combinado das componentes 'sobre-elevação meteorológica' e 'espraio da onda'</w:t>
            </w:r>
          </w:p>
        </w:tc>
        <w:tc>
          <w:tcPr>
            <w:tcW w:w="4110" w:type="dxa"/>
          </w:tcPr>
          <w:p w:rsidR="00786483" w:rsidRPr="00A43990" w:rsidRDefault="00786483" w:rsidP="00422172">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 67.</w:t>
            </w:r>
          </w:p>
          <w:p w:rsidR="00786483" w:rsidRPr="00A43990" w:rsidRDefault="00786483" w:rsidP="00422172">
            <w:pPr>
              <w:spacing w:after="0" w:line="240" w:lineRule="auto"/>
              <w:rPr>
                <w:rFonts w:asciiTheme="minorHAnsi" w:hAnsiTheme="minorHAnsi"/>
                <w:color w:val="833C0B" w:themeColor="accent2" w:themeShade="80"/>
                <w:sz w:val="20"/>
                <w:szCs w:val="20"/>
              </w:rPr>
            </w:pPr>
          </w:p>
          <w:p w:rsidR="004B3B9E" w:rsidRPr="00A43990" w:rsidRDefault="004B3B9E" w:rsidP="0042217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Esta faixa inclui obrigatoriamente a margem das águas do mar.</w:t>
            </w:r>
          </w:p>
          <w:p w:rsidR="005D3C8F" w:rsidRPr="00A43990" w:rsidRDefault="005D3C8F" w:rsidP="00422172">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996C02" w:rsidRDefault="00996C02" w:rsidP="008F6D06">
            <w:pPr>
              <w:spacing w:after="0" w:line="240" w:lineRule="auto"/>
              <w:rPr>
                <w:rFonts w:asciiTheme="minorHAnsi" w:hAnsiTheme="minorHAnsi"/>
                <w:i/>
                <w:color w:val="C45911" w:themeColor="accent2" w:themeShade="BF"/>
                <w:sz w:val="20"/>
                <w:szCs w:val="20"/>
              </w:rPr>
            </w:pPr>
            <w:r w:rsidRPr="008056DD">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áginas 40 a 42.</w:t>
            </w:r>
          </w:p>
          <w:p w:rsidR="008F6D06" w:rsidRPr="008F6D06" w:rsidRDefault="008F6D06" w:rsidP="008F6D06">
            <w:pPr>
              <w:spacing w:after="0" w:line="240" w:lineRule="auto"/>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No litoral algarvio registam-se pontualmente locais onde ocorre esta situação, nomeadamente no concelho de Lagos, Loulé e Albufeira, correspondendo estes dois últimos troços a espaços bastante artificializados, onde a frente urbana faz fronteira com o limite interior da praia.</w:t>
            </w:r>
          </w:p>
          <w:p w:rsidR="00422172" w:rsidRPr="008F6D06" w:rsidRDefault="008F6D06" w:rsidP="008F6D06">
            <w:pPr>
              <w:spacing w:after="0" w:line="240" w:lineRule="auto"/>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 xml:space="preserve">Na impossibilidade de aplicação de critérios objetivos ou </w:t>
            </w:r>
            <w:r w:rsidR="007D0F26" w:rsidRPr="008F6D06">
              <w:rPr>
                <w:rFonts w:asciiTheme="minorHAnsi" w:hAnsiTheme="minorHAnsi"/>
                <w:color w:val="C45911" w:themeColor="accent2" w:themeShade="BF"/>
                <w:sz w:val="20"/>
                <w:szCs w:val="20"/>
              </w:rPr>
              <w:t>tecnicamente</w:t>
            </w:r>
            <w:r w:rsidRPr="008F6D06">
              <w:rPr>
                <w:rFonts w:asciiTheme="minorHAnsi" w:hAnsiTheme="minorHAnsi"/>
                <w:color w:val="C45911" w:themeColor="accent2" w:themeShade="BF"/>
                <w:sz w:val="20"/>
                <w:szCs w:val="20"/>
              </w:rPr>
              <w:t xml:space="preserve"> justificados, será utilizada como referência a faixa correspondente à Zona Terrestre de </w:t>
            </w:r>
            <w:r w:rsidR="007D0F26" w:rsidRPr="008F6D06">
              <w:rPr>
                <w:rFonts w:asciiTheme="minorHAnsi" w:hAnsiTheme="minorHAnsi"/>
                <w:color w:val="C45911" w:themeColor="accent2" w:themeShade="BF"/>
                <w:sz w:val="20"/>
                <w:szCs w:val="20"/>
              </w:rPr>
              <w:t>Proteção</w:t>
            </w:r>
            <w:r w:rsidRPr="008F6D06">
              <w:rPr>
                <w:rFonts w:asciiTheme="minorHAnsi" w:hAnsiTheme="minorHAnsi"/>
                <w:color w:val="C45911" w:themeColor="accent2" w:themeShade="BF"/>
                <w:sz w:val="20"/>
                <w:szCs w:val="20"/>
              </w:rPr>
              <w:t xml:space="preserve"> estabelecida no PROT – Algarve para o sistema do litoral: 500 metros medidos a partir da LMPMAVE.</w:t>
            </w:r>
          </w:p>
          <w:p w:rsidR="008F6D06" w:rsidRPr="008F6D06" w:rsidRDefault="008F6D06" w:rsidP="008F6D06">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2"/>
              </w:numPr>
              <w:spacing w:after="0" w:line="240" w:lineRule="auto"/>
              <w:ind w:left="313"/>
              <w:rPr>
                <w:rFonts w:asciiTheme="minorHAnsi" w:hAnsiTheme="minorHAnsi"/>
                <w:sz w:val="20"/>
                <w:szCs w:val="20"/>
              </w:rPr>
            </w:pPr>
            <w:r w:rsidRPr="00C138AF">
              <w:rPr>
                <w:rFonts w:asciiTheme="minorHAnsi" w:hAnsiTheme="minorHAnsi"/>
                <w:sz w:val="20"/>
                <w:szCs w:val="20"/>
              </w:rPr>
              <w:t>Águas de Transição e respetivos leitos e margens e faixas de proteção</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92765C" w:rsidRPr="00D6708D" w:rsidRDefault="0092765C" w:rsidP="0092765C">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 xml:space="preserve">Delimitação já disponibilizada pela </w:t>
            </w:r>
            <w:r w:rsidR="00201B5A">
              <w:rPr>
                <w:rFonts w:asciiTheme="minorHAnsi" w:hAnsiTheme="minorHAnsi"/>
                <w:color w:val="2E74B5" w:themeColor="accent1" w:themeShade="BF"/>
                <w:sz w:val="20"/>
                <w:szCs w:val="20"/>
              </w:rPr>
              <w:t>APA/</w:t>
            </w:r>
            <w:r w:rsidRPr="00D6708D">
              <w:rPr>
                <w:rFonts w:asciiTheme="minorHAnsi" w:hAnsiTheme="minorHAnsi"/>
                <w:color w:val="2E74B5" w:themeColor="accent1" w:themeShade="BF"/>
                <w:sz w:val="20"/>
                <w:szCs w:val="20"/>
              </w:rPr>
              <w:t>ARH Centro.</w:t>
            </w:r>
          </w:p>
          <w:p w:rsidR="00422172" w:rsidRPr="00D6708D" w:rsidRDefault="0092765C" w:rsidP="00D6708D">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A aplicação da metodologia e critérios definidos pela APA/ARH Centro para a demarcação da LMPMAVE inclui as áreas de Sapal sem as distinguir.</w:t>
            </w:r>
          </w:p>
        </w:tc>
        <w:tc>
          <w:tcPr>
            <w:tcW w:w="4110" w:type="dxa"/>
          </w:tcPr>
          <w:p w:rsidR="00786483" w:rsidRPr="00A43990" w:rsidRDefault="00786483" w:rsidP="00422172">
            <w:pPr>
              <w:spacing w:after="0" w:line="240" w:lineRule="auto"/>
              <w:rPr>
                <w:rFonts w:asciiTheme="minorHAnsi" w:hAnsiTheme="minorHAns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69 a 71</w:t>
            </w:r>
            <w:r w:rsidRPr="00A43990">
              <w:rPr>
                <w:rFonts w:asciiTheme="minorHAnsi" w:hAnsiTheme="minorHAnsi"/>
                <w:color w:val="833C0B" w:themeColor="accent2" w:themeShade="80"/>
                <w:sz w:val="20"/>
                <w:szCs w:val="20"/>
              </w:rPr>
              <w:t>.</w:t>
            </w:r>
          </w:p>
          <w:p w:rsidR="00786483" w:rsidRPr="00A43990" w:rsidRDefault="00786483" w:rsidP="00422172">
            <w:pPr>
              <w:spacing w:after="0" w:line="240" w:lineRule="auto"/>
              <w:rPr>
                <w:rFonts w:asciiTheme="minorHAnsi" w:hAnsiTheme="minorHAnsi"/>
                <w:color w:val="833C0B" w:themeColor="accent2" w:themeShade="80"/>
                <w:sz w:val="20"/>
                <w:szCs w:val="20"/>
              </w:rPr>
            </w:pPr>
          </w:p>
          <w:p w:rsidR="00F31235" w:rsidRPr="00A43990" w:rsidRDefault="00F31235" w:rsidP="00422172">
            <w:pPr>
              <w:spacing w:after="0" w:line="240" w:lineRule="auto"/>
              <w:rPr>
                <w:rFonts w:asciiTheme="minorHAnsi" w:hAnsiTheme="minorHAnsi"/>
                <w:color w:val="833C0B" w:themeColor="accent2" w:themeShade="80"/>
                <w:sz w:val="20"/>
                <w:szCs w:val="20"/>
                <w:u w:val="single"/>
              </w:rPr>
            </w:pPr>
            <w:r w:rsidRPr="00A43990">
              <w:rPr>
                <w:rFonts w:asciiTheme="minorHAnsi" w:hAnsiTheme="minorHAnsi"/>
                <w:color w:val="833C0B" w:themeColor="accent2" w:themeShade="80"/>
                <w:sz w:val="20"/>
                <w:szCs w:val="20"/>
                <w:u w:val="single"/>
              </w:rPr>
              <w:t>Margem</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Se a linha limite do leito atingir arribas alcantiladas a largura da margem é contada a partir da crista do alcantil.</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Quando a margem tiver natureza de praia em extensão superior à estabelecida estende-se até onde o terreno apresentar tal natureza.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Sempre que existente é considerada a demarcação oficial da margem.</w:t>
            </w:r>
          </w:p>
          <w:p w:rsidR="00F31235" w:rsidRPr="00A43990" w:rsidRDefault="00F31235" w:rsidP="00F31235">
            <w:pPr>
              <w:spacing w:after="0" w:line="240" w:lineRule="auto"/>
              <w:rPr>
                <w:rFonts w:asciiTheme="minorHAnsi" w:hAnsiTheme="minorHAnsi"/>
                <w:color w:val="833C0B" w:themeColor="accent2" w:themeShade="80"/>
                <w:sz w:val="20"/>
                <w:szCs w:val="20"/>
                <w:u w:val="single"/>
              </w:rPr>
            </w:pPr>
            <w:r w:rsidRPr="00A43990">
              <w:rPr>
                <w:rFonts w:asciiTheme="minorHAnsi" w:hAnsiTheme="minorHAnsi"/>
                <w:color w:val="833C0B" w:themeColor="accent2" w:themeShade="80"/>
                <w:sz w:val="20"/>
                <w:szCs w:val="20"/>
                <w:u w:val="single"/>
              </w:rPr>
              <w:t>Faixa de proteção</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interligação hidráulica das lagoas costeiras com massas de água subterrânea deve ser considerada no estudo da sua hidrodinâmica pelo volume de água significativo que cedem às massas de água superficiais.</w:t>
            </w:r>
          </w:p>
          <w:p w:rsidR="004B3B9E"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Na área da LVT são águas de transição os </w:t>
            </w:r>
            <w:r w:rsidRPr="00A43990">
              <w:rPr>
                <w:rFonts w:asciiTheme="minorHAnsi" w:hAnsiTheme="minorHAnsi"/>
                <w:color w:val="833C0B" w:themeColor="accent2" w:themeShade="80"/>
                <w:sz w:val="20"/>
                <w:szCs w:val="20"/>
              </w:rPr>
              <w:lastRenderedPageBreak/>
              <w:t>estuários dos rios Tejo e Sado, e, ainda, as lagoas de Óbidos e de Albufeira. Em situações devidamente justificadas pode considerar-se outras massas de água.</w:t>
            </w:r>
          </w:p>
        </w:tc>
        <w:tc>
          <w:tcPr>
            <w:tcW w:w="4110" w:type="dxa"/>
          </w:tcPr>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lastRenderedPageBreak/>
              <w:t>A APA, I</w:t>
            </w:r>
            <w:r w:rsidR="00F0725C">
              <w:rPr>
                <w:rFonts w:asciiTheme="minorHAnsi" w:hAnsiTheme="minorHAnsi"/>
                <w:color w:val="BF8F00" w:themeColor="accent4" w:themeShade="BF"/>
                <w:sz w:val="20"/>
                <w:szCs w:val="20"/>
              </w:rPr>
              <w:t>.</w:t>
            </w:r>
            <w:r w:rsidRPr="00C138AF">
              <w:rPr>
                <w:rFonts w:asciiTheme="minorHAnsi" w:hAnsiTheme="minorHAnsi"/>
                <w:color w:val="BF8F00" w:themeColor="accent4" w:themeShade="BF"/>
                <w:sz w:val="20"/>
                <w:szCs w:val="20"/>
              </w:rPr>
              <w:t>P</w:t>
            </w:r>
            <w:r w:rsidR="00F0725C">
              <w:rPr>
                <w:rFonts w:asciiTheme="minorHAnsi" w:hAnsiTheme="minorHAnsi"/>
                <w:color w:val="BF8F00" w:themeColor="accent4" w:themeShade="BF"/>
                <w:sz w:val="20"/>
                <w:szCs w:val="20"/>
              </w:rPr>
              <w:t>.,</w:t>
            </w:r>
            <w:r w:rsidRPr="00C138AF">
              <w:rPr>
                <w:rFonts w:asciiTheme="minorHAnsi" w:hAnsiTheme="minorHAnsi"/>
                <w:color w:val="BF8F00" w:themeColor="accent4" w:themeShade="BF"/>
                <w:sz w:val="20"/>
                <w:szCs w:val="20"/>
              </w:rPr>
              <w:t xml:space="preserve"> fornece a informação mais relevante para a delimitação deste sistema, que é aferida com a cartografia atualizada (</w:t>
            </w:r>
            <w:proofErr w:type="spellStart"/>
            <w:r w:rsidRPr="00C138AF">
              <w:rPr>
                <w:rFonts w:asciiTheme="minorHAnsi" w:hAnsiTheme="minorHAnsi"/>
                <w:color w:val="BF8F00" w:themeColor="accent4" w:themeShade="BF"/>
                <w:sz w:val="20"/>
                <w:szCs w:val="20"/>
              </w:rPr>
              <w:t>ortofotomapas</w:t>
            </w:r>
            <w:proofErr w:type="spellEnd"/>
            <w:r w:rsidRPr="00C138AF">
              <w:rPr>
                <w:rFonts w:asciiTheme="minorHAnsi" w:hAnsiTheme="minorHAnsi"/>
                <w:color w:val="BF8F00" w:themeColor="accent4" w:themeShade="BF"/>
                <w:sz w:val="20"/>
                <w:szCs w:val="20"/>
              </w:rPr>
              <w:t>).</w:t>
            </w:r>
          </w:p>
        </w:tc>
        <w:tc>
          <w:tcPr>
            <w:tcW w:w="4110" w:type="dxa"/>
          </w:tcPr>
          <w:p w:rsidR="00996C02" w:rsidRDefault="00996C02" w:rsidP="008F6D06">
            <w:pPr>
              <w:spacing w:after="0" w:line="240" w:lineRule="auto"/>
              <w:rPr>
                <w:rFonts w:asciiTheme="minorHAnsi" w:hAnsiTheme="minorHAnsi"/>
                <w:i/>
                <w:color w:val="C45911" w:themeColor="accent2" w:themeShade="BF"/>
                <w:sz w:val="20"/>
                <w:szCs w:val="20"/>
              </w:rPr>
            </w:pPr>
            <w:r w:rsidRPr="008056DD">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áginas 43 a 47.</w:t>
            </w:r>
          </w:p>
          <w:p w:rsidR="00690693" w:rsidRDefault="00690693" w:rsidP="008F6D06">
            <w:pPr>
              <w:spacing w:after="0" w:line="240" w:lineRule="auto"/>
              <w:rPr>
                <w:rFonts w:asciiTheme="minorHAnsi" w:hAnsiTheme="minorHAnsi"/>
                <w:i/>
                <w:color w:val="C45911" w:themeColor="accent2" w:themeShade="BF"/>
                <w:sz w:val="20"/>
                <w:szCs w:val="20"/>
              </w:rPr>
            </w:pPr>
          </w:p>
          <w:p w:rsidR="008F6D06" w:rsidRPr="0053774B" w:rsidRDefault="008F6D06" w:rsidP="008F6D06">
            <w:pPr>
              <w:spacing w:after="0" w:line="240" w:lineRule="auto"/>
              <w:rPr>
                <w:rFonts w:asciiTheme="minorHAnsi" w:hAnsiTheme="minorHAnsi"/>
                <w:b/>
                <w:color w:val="C45911" w:themeColor="accent2" w:themeShade="BF"/>
                <w:sz w:val="20"/>
                <w:szCs w:val="20"/>
              </w:rPr>
            </w:pPr>
            <w:r w:rsidRPr="0053774B">
              <w:rPr>
                <w:rFonts w:asciiTheme="minorHAnsi" w:hAnsiTheme="minorHAnsi"/>
                <w:b/>
                <w:color w:val="C45911" w:themeColor="accent2" w:themeShade="BF"/>
                <w:sz w:val="20"/>
                <w:szCs w:val="20"/>
              </w:rPr>
              <w:t>Sistemas Lagunares</w:t>
            </w:r>
          </w:p>
          <w:p w:rsidR="008F6D06" w:rsidRPr="008F6D06" w:rsidRDefault="008F6D06"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Ria Formosa;</w:t>
            </w:r>
          </w:p>
          <w:p w:rsidR="008F6D06" w:rsidRPr="008F6D06" w:rsidRDefault="008F6D06"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Laguna de Castro Marim/ Vila Real de Santo António;</w:t>
            </w:r>
          </w:p>
          <w:p w:rsidR="008F6D06" w:rsidRPr="008F6D06" w:rsidRDefault="008F6D06"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Ria de Alvor.</w:t>
            </w:r>
          </w:p>
          <w:p w:rsidR="008F6D06" w:rsidRPr="008F6D06" w:rsidRDefault="008F6D06" w:rsidP="008F6D06">
            <w:pPr>
              <w:spacing w:after="0" w:line="240" w:lineRule="auto"/>
              <w:rPr>
                <w:rFonts w:asciiTheme="minorHAnsi" w:hAnsiTheme="minorHAnsi"/>
                <w:color w:val="C45911" w:themeColor="accent2" w:themeShade="BF"/>
                <w:sz w:val="20"/>
                <w:szCs w:val="20"/>
              </w:rPr>
            </w:pPr>
          </w:p>
          <w:p w:rsidR="008F6D06" w:rsidRPr="0053774B" w:rsidRDefault="008F6D06" w:rsidP="008F6D06">
            <w:pPr>
              <w:spacing w:after="0" w:line="240" w:lineRule="auto"/>
              <w:rPr>
                <w:rFonts w:asciiTheme="minorHAnsi" w:hAnsiTheme="minorHAnsi"/>
                <w:b/>
                <w:color w:val="C45911" w:themeColor="accent2" w:themeShade="BF"/>
                <w:sz w:val="20"/>
                <w:szCs w:val="20"/>
              </w:rPr>
            </w:pPr>
            <w:r w:rsidRPr="0053774B">
              <w:rPr>
                <w:rFonts w:asciiTheme="minorHAnsi" w:hAnsiTheme="minorHAnsi"/>
                <w:b/>
                <w:color w:val="C45911" w:themeColor="accent2" w:themeShade="BF"/>
                <w:sz w:val="20"/>
                <w:szCs w:val="20"/>
              </w:rPr>
              <w:t>Estuários</w:t>
            </w:r>
          </w:p>
          <w:p w:rsidR="008F6D06" w:rsidRPr="008F6D06" w:rsidRDefault="008F6D06"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Ria de Alvor;</w:t>
            </w:r>
          </w:p>
          <w:p w:rsidR="008F6D06" w:rsidRPr="008F6D06" w:rsidRDefault="008F6D06"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Rio Guadiana;</w:t>
            </w:r>
          </w:p>
          <w:p w:rsidR="008F6D06" w:rsidRPr="008F6D06" w:rsidRDefault="008F6D06"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Rio Arade;</w:t>
            </w:r>
          </w:p>
          <w:p w:rsidR="008F6D06" w:rsidRPr="008F6D06" w:rsidRDefault="008F6D06"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Ribeira de Aljezur;</w:t>
            </w:r>
          </w:p>
          <w:p w:rsidR="008F6D06" w:rsidRPr="008F6D06" w:rsidRDefault="008F6D06"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Ribeira de Odeceixe.</w:t>
            </w:r>
          </w:p>
          <w:p w:rsidR="008F6D06" w:rsidRPr="008F6D06" w:rsidRDefault="008F6D06" w:rsidP="008F6D06">
            <w:pPr>
              <w:spacing w:after="0" w:line="240" w:lineRule="auto"/>
              <w:rPr>
                <w:rFonts w:asciiTheme="minorHAnsi" w:hAnsiTheme="minorHAnsi"/>
                <w:color w:val="C45911" w:themeColor="accent2" w:themeShade="BF"/>
                <w:sz w:val="20"/>
                <w:szCs w:val="20"/>
              </w:rPr>
            </w:pPr>
          </w:p>
          <w:p w:rsidR="008F6D06" w:rsidRPr="008F6D06" w:rsidRDefault="008F6D06" w:rsidP="008F6D06">
            <w:pPr>
              <w:spacing w:after="0" w:line="240" w:lineRule="auto"/>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 xml:space="preserve">As águas de transição estabelecidas para a região do Algarve correspondem aos sectores contíguos à margem direita do Rio Guadiana e </w:t>
            </w:r>
            <w:r w:rsidRPr="008F6D06">
              <w:rPr>
                <w:rFonts w:asciiTheme="minorHAnsi" w:hAnsiTheme="minorHAnsi"/>
                <w:color w:val="C45911" w:themeColor="accent2" w:themeShade="BF"/>
                <w:sz w:val="20"/>
                <w:szCs w:val="20"/>
              </w:rPr>
              <w:lastRenderedPageBreak/>
              <w:t>a ambas as margens do estuário do Rio Arade.</w:t>
            </w:r>
          </w:p>
          <w:p w:rsidR="008F6D06" w:rsidRPr="008F6D06" w:rsidRDefault="008F6D06" w:rsidP="008F6D06">
            <w:pPr>
              <w:spacing w:after="0" w:line="240" w:lineRule="auto"/>
              <w:rPr>
                <w:rFonts w:asciiTheme="minorHAnsi" w:hAnsiTheme="minorHAnsi"/>
                <w:color w:val="C45911" w:themeColor="accent2" w:themeShade="BF"/>
                <w:sz w:val="20"/>
                <w:szCs w:val="20"/>
              </w:rPr>
            </w:pPr>
            <w:r w:rsidRPr="008F6D06">
              <w:rPr>
                <w:rFonts w:asciiTheme="minorHAnsi" w:hAnsiTheme="minorHAnsi"/>
                <w:color w:val="C45911" w:themeColor="accent2" w:themeShade="BF"/>
                <w:sz w:val="20"/>
                <w:szCs w:val="20"/>
              </w:rPr>
              <w:t xml:space="preserve">A faixa de </w:t>
            </w:r>
            <w:r w:rsidR="0053774B" w:rsidRPr="008F6D06">
              <w:rPr>
                <w:rFonts w:asciiTheme="minorHAnsi" w:hAnsiTheme="minorHAnsi"/>
                <w:color w:val="C45911" w:themeColor="accent2" w:themeShade="BF"/>
                <w:sz w:val="20"/>
                <w:szCs w:val="20"/>
              </w:rPr>
              <w:t>proteção</w:t>
            </w:r>
            <w:r w:rsidRPr="008F6D06">
              <w:rPr>
                <w:rFonts w:asciiTheme="minorHAnsi" w:hAnsiTheme="minorHAnsi"/>
                <w:color w:val="C45911" w:themeColor="accent2" w:themeShade="BF"/>
                <w:sz w:val="20"/>
                <w:szCs w:val="20"/>
              </w:rPr>
              <w:t xml:space="preserve"> não deverá em nenhum caso ser </w:t>
            </w:r>
            <w:r w:rsidRPr="00D6708D">
              <w:rPr>
                <w:rFonts w:asciiTheme="minorHAnsi" w:hAnsiTheme="minorHAnsi"/>
                <w:color w:val="C45911" w:themeColor="accent2" w:themeShade="BF"/>
                <w:sz w:val="20"/>
                <w:szCs w:val="20"/>
                <w:highlight w:val="yellow"/>
              </w:rPr>
              <w:t>inferior a 50 m</w:t>
            </w:r>
            <w:r w:rsidRPr="008F6D06">
              <w:rPr>
                <w:rFonts w:asciiTheme="minorHAnsi" w:hAnsiTheme="minorHAnsi"/>
                <w:color w:val="C45911" w:themeColor="accent2" w:themeShade="BF"/>
                <w:sz w:val="20"/>
                <w:szCs w:val="20"/>
              </w:rPr>
              <w:t>, sendo delimitada em função das características específicas de cada área.</w:t>
            </w:r>
          </w:p>
        </w:tc>
      </w:tr>
      <w:tr w:rsidR="00270312" w:rsidRPr="00C138AF" w:rsidTr="007806B0">
        <w:trPr>
          <w:trHeight w:val="283"/>
        </w:trPr>
        <w:tc>
          <w:tcPr>
            <w:tcW w:w="22557" w:type="dxa"/>
            <w:gridSpan w:val="6"/>
            <w:shd w:val="clear" w:color="auto" w:fill="D9D9D9" w:themeFill="background1" w:themeFillShade="D9"/>
            <w:vAlign w:val="center"/>
          </w:tcPr>
          <w:p w:rsidR="00270312" w:rsidRPr="00EC5321" w:rsidRDefault="00270312" w:rsidP="00282B60">
            <w:pPr>
              <w:pStyle w:val="PargrafodaLista"/>
              <w:numPr>
                <w:ilvl w:val="0"/>
                <w:numId w:val="11"/>
              </w:numPr>
              <w:spacing w:after="0" w:line="240" w:lineRule="auto"/>
              <w:jc w:val="left"/>
              <w:rPr>
                <w:rFonts w:asciiTheme="minorHAnsi" w:hAnsiTheme="minorHAnsi"/>
                <w:b/>
                <w:color w:val="000000" w:themeColor="text1"/>
                <w:sz w:val="20"/>
                <w:szCs w:val="20"/>
              </w:rPr>
            </w:pPr>
            <w:r w:rsidRPr="00EC5321">
              <w:rPr>
                <w:rFonts w:asciiTheme="minorHAnsi" w:hAnsiTheme="minorHAnsi"/>
                <w:b/>
                <w:color w:val="000000" w:themeColor="text1"/>
                <w:sz w:val="20"/>
                <w:szCs w:val="20"/>
              </w:rPr>
              <w:lastRenderedPageBreak/>
              <w:t>ÁREAS RELEVANTES PARA A SUSTENTABILIDADE DO CICLO HIDROLÓGICO TERRESTRE</w:t>
            </w:r>
          </w:p>
        </w:tc>
      </w:tr>
      <w:tr w:rsidR="00422172" w:rsidRPr="00C138AF" w:rsidTr="007806B0">
        <w:tc>
          <w:tcPr>
            <w:tcW w:w="2007" w:type="dxa"/>
            <w:vAlign w:val="center"/>
          </w:tcPr>
          <w:p w:rsidR="00422172" w:rsidRPr="00C138AF" w:rsidRDefault="00422172" w:rsidP="00422172">
            <w:pPr>
              <w:pStyle w:val="PargrafodaLista"/>
              <w:numPr>
                <w:ilvl w:val="0"/>
                <w:numId w:val="13"/>
              </w:numPr>
              <w:spacing w:after="0" w:line="240" w:lineRule="auto"/>
              <w:ind w:left="313"/>
              <w:rPr>
                <w:rFonts w:asciiTheme="minorHAnsi" w:hAnsiTheme="minorHAnsi"/>
                <w:sz w:val="20"/>
                <w:szCs w:val="20"/>
              </w:rPr>
            </w:pPr>
            <w:r w:rsidRPr="00C138AF">
              <w:rPr>
                <w:rFonts w:asciiTheme="minorHAnsi" w:hAnsiTheme="minorHAnsi"/>
                <w:sz w:val="20"/>
                <w:szCs w:val="20"/>
              </w:rPr>
              <w:t>Cursos de água e respetivos leitos e margens (LCA)</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2B50EA" w:rsidRDefault="002B50EA" w:rsidP="00D6708D">
            <w:pPr>
              <w:spacing w:after="0" w:line="240" w:lineRule="auto"/>
              <w:rPr>
                <w:rFonts w:asciiTheme="minorHAnsi" w:hAnsiTheme="minorHAnsi"/>
                <w:color w:val="2E74B5" w:themeColor="accent1" w:themeShade="BF"/>
                <w:sz w:val="20"/>
                <w:szCs w:val="20"/>
              </w:rPr>
            </w:pPr>
            <w:r w:rsidRPr="002B50EA">
              <w:rPr>
                <w:rFonts w:asciiTheme="minorHAnsi" w:hAnsiTheme="minorHAnsi"/>
                <w:color w:val="2E74B5" w:themeColor="accent1" w:themeShade="BF"/>
                <w:sz w:val="20"/>
                <w:szCs w:val="20"/>
              </w:rPr>
              <w:t>Na identificação dos cursos de água como parte integrante da REN foram considerados os seguintes</w:t>
            </w:r>
            <w:r>
              <w:rPr>
                <w:rFonts w:asciiTheme="minorHAnsi" w:hAnsiTheme="minorHAnsi"/>
                <w:color w:val="2E74B5" w:themeColor="accent1" w:themeShade="BF"/>
                <w:sz w:val="20"/>
                <w:szCs w:val="20"/>
              </w:rPr>
              <w:t xml:space="preserve"> </w:t>
            </w:r>
            <w:r w:rsidRPr="002B50EA">
              <w:rPr>
                <w:rFonts w:asciiTheme="minorHAnsi" w:hAnsiTheme="minorHAnsi"/>
                <w:color w:val="2E74B5" w:themeColor="accent1" w:themeShade="BF"/>
                <w:sz w:val="20"/>
                <w:szCs w:val="20"/>
              </w:rPr>
              <w:t>aspetos:</w:t>
            </w:r>
          </w:p>
          <w:p w:rsidR="00422172" w:rsidRDefault="002B50EA" w:rsidP="00D6708D">
            <w:pPr>
              <w:pStyle w:val="PargrafodaLista"/>
              <w:numPr>
                <w:ilvl w:val="0"/>
                <w:numId w:val="17"/>
              </w:numPr>
              <w:spacing w:after="0" w:line="240" w:lineRule="auto"/>
              <w:ind w:left="320"/>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Integração dos pequenos açudes, lagoas e albufeiras de dimensões pouco significativas para serem incluídas na categoria de albufeiras;</w:t>
            </w:r>
          </w:p>
          <w:p w:rsidR="002B50EA" w:rsidRDefault="002B50EA" w:rsidP="00D6708D">
            <w:pPr>
              <w:pStyle w:val="PargrafodaLista"/>
              <w:numPr>
                <w:ilvl w:val="0"/>
                <w:numId w:val="17"/>
              </w:numPr>
              <w:spacing w:after="0" w:line="240" w:lineRule="auto"/>
              <w:ind w:left="320"/>
              <w:rPr>
                <w:rFonts w:asciiTheme="minorHAnsi" w:hAnsiTheme="minorHAnsi"/>
                <w:color w:val="2E74B5" w:themeColor="accent1" w:themeShade="BF"/>
                <w:sz w:val="20"/>
                <w:szCs w:val="20"/>
              </w:rPr>
            </w:pPr>
            <w:r w:rsidRPr="002B50EA">
              <w:rPr>
                <w:rFonts w:asciiTheme="minorHAnsi" w:hAnsiTheme="minorHAnsi"/>
                <w:color w:val="2E74B5" w:themeColor="accent1" w:themeShade="BF"/>
                <w:sz w:val="20"/>
                <w:szCs w:val="20"/>
              </w:rPr>
              <w:t>Conetividade dos cursos de água com as zonas ameaçadas pelas cheias demarcadas;</w:t>
            </w:r>
          </w:p>
          <w:p w:rsidR="001713BF" w:rsidRDefault="001713BF" w:rsidP="00D6708D">
            <w:pPr>
              <w:pStyle w:val="PargrafodaLista"/>
              <w:numPr>
                <w:ilvl w:val="0"/>
                <w:numId w:val="17"/>
              </w:numPr>
              <w:spacing w:after="0" w:line="240" w:lineRule="auto"/>
              <w:ind w:left="320"/>
              <w:rPr>
                <w:rFonts w:asciiTheme="minorHAnsi" w:hAnsiTheme="minorHAnsi"/>
                <w:color w:val="2E74B5" w:themeColor="accent1" w:themeShade="BF"/>
                <w:sz w:val="20"/>
                <w:szCs w:val="20"/>
              </w:rPr>
            </w:pPr>
            <w:r w:rsidRPr="001713BF">
              <w:rPr>
                <w:rFonts w:asciiTheme="minorHAnsi" w:hAnsiTheme="minorHAnsi"/>
                <w:color w:val="2E74B5" w:themeColor="accent1" w:themeShade="BF"/>
                <w:sz w:val="20"/>
                <w:szCs w:val="20"/>
              </w:rPr>
              <w:t>Inclusão das praias fluviais como parte integrante da margem das linhas de água.</w:t>
            </w:r>
          </w:p>
          <w:p w:rsidR="001713BF" w:rsidRPr="00D6708D" w:rsidRDefault="001713BF" w:rsidP="00D6708D">
            <w:pPr>
              <w:spacing w:after="0" w:line="240" w:lineRule="auto"/>
              <w:rPr>
                <w:rFonts w:asciiTheme="minorHAnsi" w:hAnsiTheme="minorHAnsi"/>
                <w:color w:val="2E74B5" w:themeColor="accent1" w:themeShade="BF"/>
                <w:sz w:val="20"/>
                <w:szCs w:val="20"/>
              </w:rPr>
            </w:pPr>
            <w:r w:rsidRPr="001713BF">
              <w:rPr>
                <w:rFonts w:asciiTheme="minorHAnsi" w:hAnsiTheme="minorHAnsi"/>
                <w:color w:val="2E74B5" w:themeColor="accent1" w:themeShade="BF"/>
                <w:sz w:val="20"/>
                <w:szCs w:val="20"/>
              </w:rPr>
              <w:t>Relativamente à margem, o n.º 2 e seguintes do artigo 11º da Lei n.º 54/2005, de 15 de novembro,</w:t>
            </w:r>
            <w:r>
              <w:rPr>
                <w:rFonts w:asciiTheme="minorHAnsi" w:hAnsiTheme="minorHAnsi"/>
                <w:color w:val="2E74B5" w:themeColor="accent1" w:themeShade="BF"/>
                <w:sz w:val="20"/>
                <w:szCs w:val="20"/>
              </w:rPr>
              <w:t xml:space="preserve"> </w:t>
            </w:r>
            <w:r w:rsidRPr="001713BF">
              <w:rPr>
                <w:rFonts w:asciiTheme="minorHAnsi" w:hAnsiTheme="minorHAnsi"/>
                <w:color w:val="2E74B5" w:themeColor="accent1" w:themeShade="BF"/>
                <w:sz w:val="20"/>
                <w:szCs w:val="20"/>
              </w:rPr>
              <w:t>alterada pela Lei n.º 78/2013, de 21 de novembro e pela Lei n.º 34/2014, de 19 de junho, refere os</w:t>
            </w:r>
            <w:r>
              <w:rPr>
                <w:rFonts w:asciiTheme="minorHAnsi" w:hAnsiTheme="minorHAnsi"/>
                <w:color w:val="2E74B5" w:themeColor="accent1" w:themeShade="BF"/>
                <w:sz w:val="20"/>
                <w:szCs w:val="20"/>
              </w:rPr>
              <w:t xml:space="preserve"> </w:t>
            </w:r>
            <w:r w:rsidRPr="001713BF">
              <w:rPr>
                <w:rFonts w:asciiTheme="minorHAnsi" w:hAnsiTheme="minorHAnsi"/>
                <w:color w:val="2E74B5" w:themeColor="accent1" w:themeShade="BF"/>
                <w:sz w:val="20"/>
                <w:szCs w:val="20"/>
              </w:rPr>
              <w:t>critérios de definição da largura correspondente à margem das linhas de água (igualmente referidos na</w:t>
            </w:r>
            <w:r>
              <w:rPr>
                <w:rFonts w:asciiTheme="minorHAnsi" w:hAnsiTheme="minorHAnsi"/>
                <w:color w:val="2E74B5" w:themeColor="accent1" w:themeShade="BF"/>
                <w:sz w:val="20"/>
                <w:szCs w:val="20"/>
              </w:rPr>
              <w:t xml:space="preserve"> </w:t>
            </w:r>
            <w:r w:rsidRPr="001713BF">
              <w:rPr>
                <w:rFonts w:asciiTheme="minorHAnsi" w:hAnsiTheme="minorHAnsi"/>
                <w:color w:val="2E74B5" w:themeColor="accent1" w:themeShade="BF"/>
                <w:sz w:val="20"/>
                <w:szCs w:val="20"/>
              </w:rPr>
              <w:t>Lei da Água (artigo 4º), face à articulação entre regimes prevista no RJREN (n.º 3 da alínea a) da Secção II,</w:t>
            </w:r>
            <w:r>
              <w:rPr>
                <w:rFonts w:asciiTheme="minorHAnsi" w:hAnsiTheme="minorHAnsi"/>
                <w:color w:val="2E74B5" w:themeColor="accent1" w:themeShade="BF"/>
                <w:sz w:val="20"/>
                <w:szCs w:val="20"/>
              </w:rPr>
              <w:t xml:space="preserve"> </w:t>
            </w:r>
            <w:r w:rsidRPr="001713BF">
              <w:rPr>
                <w:rFonts w:asciiTheme="minorHAnsi" w:hAnsiTheme="minorHAnsi"/>
                <w:color w:val="2E74B5" w:themeColor="accent1" w:themeShade="BF"/>
                <w:sz w:val="20"/>
                <w:szCs w:val="20"/>
              </w:rPr>
              <w:t>Anexo I) e no Artigo 17º da Lei da Água, estes critérios são os considerados na delimitação da REN e,</w:t>
            </w:r>
            <w:r>
              <w:rPr>
                <w:rFonts w:asciiTheme="minorHAnsi" w:hAnsiTheme="minorHAnsi"/>
                <w:color w:val="2E74B5" w:themeColor="accent1" w:themeShade="BF"/>
                <w:sz w:val="20"/>
                <w:szCs w:val="20"/>
              </w:rPr>
              <w:t xml:space="preserve"> </w:t>
            </w:r>
            <w:r w:rsidRPr="001713BF">
              <w:rPr>
                <w:rFonts w:asciiTheme="minorHAnsi" w:hAnsiTheme="minorHAnsi"/>
                <w:color w:val="2E74B5" w:themeColor="accent1" w:themeShade="BF"/>
                <w:sz w:val="20"/>
                <w:szCs w:val="20"/>
              </w:rPr>
              <w:t>deste modo, considera-se que todas as linhas de água que integram o concelho da Covilhã apresentam,</w:t>
            </w:r>
            <w:r>
              <w:rPr>
                <w:rFonts w:asciiTheme="minorHAnsi" w:hAnsiTheme="minorHAnsi"/>
                <w:color w:val="2E74B5" w:themeColor="accent1" w:themeShade="BF"/>
                <w:sz w:val="20"/>
                <w:szCs w:val="20"/>
              </w:rPr>
              <w:t xml:space="preserve"> </w:t>
            </w:r>
            <w:r w:rsidRPr="001713BF">
              <w:rPr>
                <w:rFonts w:asciiTheme="minorHAnsi" w:hAnsiTheme="minorHAnsi"/>
                <w:color w:val="2E74B5" w:themeColor="accent1" w:themeShade="BF"/>
                <w:sz w:val="20"/>
                <w:szCs w:val="20"/>
              </w:rPr>
              <w:t>para efeitos de delimitação da REN, uma margem de 10 metros.</w:t>
            </w:r>
          </w:p>
        </w:tc>
        <w:tc>
          <w:tcPr>
            <w:tcW w:w="4110" w:type="dxa"/>
          </w:tcPr>
          <w:p w:rsidR="00786483" w:rsidRPr="00A43990" w:rsidRDefault="00786483" w:rsidP="00422172">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77 a 80.</w:t>
            </w:r>
          </w:p>
          <w:p w:rsidR="00786483" w:rsidRPr="00A43990" w:rsidRDefault="00786483" w:rsidP="00422172">
            <w:pPr>
              <w:spacing w:after="0" w:line="240" w:lineRule="auto"/>
              <w:rPr>
                <w:rFonts w:asciiTheme="minorHAnsi" w:hAnsiTheme="minorHAnsi"/>
                <w:i/>
                <w:color w:val="833C0B" w:themeColor="accent2" w:themeShade="80"/>
                <w:sz w:val="20"/>
                <w:szCs w:val="20"/>
              </w:rPr>
            </w:pPr>
          </w:p>
          <w:p w:rsidR="00F31235" w:rsidRPr="00A43990" w:rsidRDefault="00F31235" w:rsidP="0042217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u w:val="single"/>
              </w:rPr>
              <w:t>Cursos de água</w:t>
            </w:r>
            <w:r w:rsidRPr="00A43990">
              <w:rPr>
                <w:rFonts w:asciiTheme="minorHAnsi" w:hAnsiTheme="minorHAnsi"/>
                <w:color w:val="833C0B" w:themeColor="accent2" w:themeShade="80"/>
                <w:sz w:val="20"/>
                <w:szCs w:val="20"/>
              </w:rPr>
              <w:t>:</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integração de outros cursos de água é devidamente documentada e justificada em memória descritiva.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Sempre que possível deve ser assegurada a conectividade hidráulica.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No curso de água incluem-se:</w:t>
            </w:r>
          </w:p>
          <w:p w:rsidR="00F31235" w:rsidRPr="00A43990" w:rsidRDefault="004B3B9E"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 </w:t>
            </w:r>
            <w:r w:rsidR="00F31235" w:rsidRPr="00A43990">
              <w:rPr>
                <w:rFonts w:asciiTheme="minorHAnsi" w:hAnsiTheme="minorHAnsi"/>
                <w:color w:val="833C0B" w:themeColor="accent2" w:themeShade="80"/>
                <w:sz w:val="20"/>
                <w:szCs w:val="20"/>
              </w:rPr>
              <w:t xml:space="preserve"> As ínsuas, mouchões, lodeiros e areais, formados por deposição aluvial nos leitos dos cursos de água.</w:t>
            </w:r>
          </w:p>
          <w:p w:rsidR="00F31235" w:rsidRPr="00A43990" w:rsidRDefault="004B3B9E"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 </w:t>
            </w:r>
            <w:r w:rsidR="00F31235" w:rsidRPr="00A43990">
              <w:rPr>
                <w:rFonts w:asciiTheme="minorHAnsi" w:hAnsiTheme="minorHAnsi"/>
                <w:color w:val="833C0B" w:themeColor="accent2" w:themeShade="80"/>
                <w:sz w:val="20"/>
                <w:szCs w:val="20"/>
              </w:rPr>
              <w:t xml:space="preserve"> As albufeiras dos pequenos aproveitamentos hídricos que não integrem a tipologia albufeiras, com delimitação à cota do nível de pleno armazenamento (NPA).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Os cursos de água são delimitados em toda a sua extensão, ou seja, da nascente até à foz e a sua integração na REN tem de ser precedida da verificação da sua existência no terreno.</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Não são integrados os cursos de água (ou troços significativos) cujo escoamento não se processe a céu aberto, localizados em áreas urbanas consolidadas onde manifestamente não existam condições de renaturalização</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u w:val="single"/>
              </w:rPr>
              <w:t>Margem</w:t>
            </w:r>
            <w:r w:rsidRPr="00A43990">
              <w:rPr>
                <w:rFonts w:asciiTheme="minorHAnsi" w:hAnsiTheme="minorHAnsi"/>
                <w:color w:val="833C0B" w:themeColor="accent2" w:themeShade="80"/>
                <w:sz w:val="20"/>
                <w:szCs w:val="20"/>
              </w:rPr>
              <w:t>:</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Quando a margem tiver natureza de praia em extensão superior à estabelecida estende-se até onde o terreno apresentar tal natureza.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delimitação da margem dos aproveitamentos hídricos segue o mesmo critério.</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Sempre que existente é considerada a demarcação oficial de margem.</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identificação e descrição das bacias hidrográficas do concelho, bem como a designação dos respetivos cursos de água constam da memória descritiva, em forma de tabelas e de cartogramas.</w:t>
            </w:r>
          </w:p>
          <w:p w:rsidR="004B3B9E" w:rsidRPr="00A43990" w:rsidRDefault="004B3B9E" w:rsidP="00F31235">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Critério A. “…a dimensão da bacia hidrográfica que drenam, tendo como referência o valor 3,5 km2;”</w:t>
            </w: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 xml:space="preserve">Critério B. “…a posição hierárquica na rede de drenagem tendo como referência os de ordem igual ou superior a 3 na classificação de </w:t>
            </w:r>
            <w:proofErr w:type="spellStart"/>
            <w:r w:rsidRPr="00C138AF">
              <w:rPr>
                <w:rFonts w:asciiTheme="minorHAnsi" w:hAnsiTheme="minorHAnsi"/>
                <w:color w:val="BF8F00" w:themeColor="accent4" w:themeShade="BF"/>
                <w:sz w:val="20"/>
                <w:szCs w:val="20"/>
              </w:rPr>
              <w:t>Strahler</w:t>
            </w:r>
            <w:proofErr w:type="spellEnd"/>
            <w:r w:rsidRPr="00C138AF">
              <w:rPr>
                <w:rFonts w:asciiTheme="minorHAnsi" w:hAnsiTheme="minorHAnsi"/>
                <w:color w:val="BF8F00" w:themeColor="accent4" w:themeShade="BF"/>
                <w:sz w:val="20"/>
                <w:szCs w:val="20"/>
              </w:rPr>
              <w:t>;”</w:t>
            </w: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Critério C. “…aos quais estejam associados zonas ameaçadas pelas cheias;</w:t>
            </w: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Critério D. “…os identificados como a proteger e a melhorar no âmbito dos Planos de Bacias Hidrográficas (PBH)</w:t>
            </w:r>
          </w:p>
          <w:p w:rsidR="00422172" w:rsidRPr="00C138AF" w:rsidRDefault="00422172" w:rsidP="00422172">
            <w:pPr>
              <w:spacing w:after="0" w:line="240" w:lineRule="auto"/>
              <w:rPr>
                <w:rFonts w:asciiTheme="minorHAnsi" w:hAnsiTheme="minorHAnsi"/>
                <w:sz w:val="20"/>
                <w:szCs w:val="20"/>
              </w:rPr>
            </w:pPr>
            <w:r w:rsidRPr="00C138AF">
              <w:rPr>
                <w:rFonts w:asciiTheme="minorHAnsi" w:hAnsiTheme="minorHAnsi"/>
                <w:color w:val="BF8F00" w:themeColor="accent4" w:themeShade="BF"/>
                <w:sz w:val="20"/>
                <w:szCs w:val="20"/>
              </w:rPr>
              <w:t>. Critério E. “…os que não tendo sido considerados nos pontos anteriores, se revelem fundamentais ao garantir a sustentabilidade do ciclo hidrológico terrestre e outros valores da natureza”.</w:t>
            </w:r>
          </w:p>
        </w:tc>
        <w:tc>
          <w:tcPr>
            <w:tcW w:w="4110" w:type="dxa"/>
          </w:tcPr>
          <w:p w:rsidR="00690693" w:rsidRDefault="00690693" w:rsidP="0053774B">
            <w:pPr>
              <w:spacing w:after="0" w:line="240" w:lineRule="auto"/>
              <w:rPr>
                <w:rFonts w:asciiTheme="minorHAnsi" w:hAnsiTheme="minorHAnsi"/>
                <w:i/>
                <w:color w:val="C45911" w:themeColor="accent2" w:themeShade="BF"/>
                <w:sz w:val="20"/>
                <w:szCs w:val="20"/>
              </w:rPr>
            </w:pPr>
            <w:r w:rsidRPr="0053774B">
              <w:rPr>
                <w:rFonts w:asciiTheme="minorHAnsi" w:hAnsiTheme="minorHAnsi"/>
                <w:i/>
                <w:color w:val="C45911" w:themeColor="accent2" w:themeShade="BF"/>
                <w:sz w:val="20"/>
                <w:szCs w:val="20"/>
              </w:rPr>
              <w:t>Guia Metodológico de Delimitação/Alteração da Delimitação da REN, da CCDR Algarve – páginas 48 a 50.</w:t>
            </w:r>
          </w:p>
          <w:p w:rsidR="0053774B" w:rsidRPr="0053774B" w:rsidRDefault="00F0725C" w:rsidP="0053774B">
            <w:pPr>
              <w:spacing w:after="0" w:line="240" w:lineRule="auto"/>
              <w:rPr>
                <w:rFonts w:asciiTheme="minorHAnsi" w:hAnsiTheme="minorHAnsi"/>
                <w:color w:val="C45911" w:themeColor="accent2" w:themeShade="BF"/>
                <w:sz w:val="20"/>
                <w:szCs w:val="20"/>
              </w:rPr>
            </w:pPr>
            <w:r>
              <w:rPr>
                <w:rFonts w:asciiTheme="minorHAnsi" w:hAnsiTheme="minorHAnsi"/>
                <w:color w:val="C45911" w:themeColor="accent2" w:themeShade="BF"/>
                <w:sz w:val="20"/>
                <w:szCs w:val="20"/>
              </w:rPr>
              <w:t>T</w:t>
            </w:r>
            <w:r w:rsidR="0053774B" w:rsidRPr="0053774B">
              <w:rPr>
                <w:rFonts w:asciiTheme="minorHAnsi" w:hAnsiTheme="minorHAnsi"/>
                <w:color w:val="C45911" w:themeColor="accent2" w:themeShade="BF"/>
                <w:sz w:val="20"/>
                <w:szCs w:val="20"/>
              </w:rPr>
              <w:t xml:space="preserve">endo em conta o regime pluviométrico regional, serão consideradas preferencialmente as linhas de água de nível igual ou superior a 3 na classificação de </w:t>
            </w:r>
            <w:proofErr w:type="spellStart"/>
            <w:r w:rsidR="0053774B" w:rsidRPr="0053774B">
              <w:rPr>
                <w:rFonts w:asciiTheme="minorHAnsi" w:hAnsiTheme="minorHAnsi"/>
                <w:color w:val="C45911" w:themeColor="accent2" w:themeShade="BF"/>
                <w:sz w:val="20"/>
                <w:szCs w:val="20"/>
              </w:rPr>
              <w:t>Strahler</w:t>
            </w:r>
            <w:proofErr w:type="spellEnd"/>
            <w:r w:rsidR="0053774B" w:rsidRPr="0053774B">
              <w:rPr>
                <w:rFonts w:asciiTheme="minorHAnsi" w:hAnsiTheme="minorHAnsi"/>
                <w:color w:val="C45911" w:themeColor="accent2" w:themeShade="BF"/>
                <w:sz w:val="20"/>
                <w:szCs w:val="20"/>
              </w:rPr>
              <w:t>, de forma a salvaguardar a integridade da rede hidrográfica fundamental. A integração desse nível de classificação contribui, igualmente, para garantir a conetividade dos sistemas da REN.</w:t>
            </w:r>
          </w:p>
          <w:p w:rsidR="00422172" w:rsidRPr="0053774B" w:rsidRDefault="0053774B" w:rsidP="0053774B">
            <w:pPr>
              <w:spacing w:after="0" w:line="240" w:lineRule="auto"/>
              <w:rPr>
                <w:rFonts w:asciiTheme="minorHAnsi" w:hAnsiTheme="minorHAnsi"/>
                <w:color w:val="C45911" w:themeColor="accent2" w:themeShade="BF"/>
                <w:sz w:val="20"/>
                <w:szCs w:val="20"/>
              </w:rPr>
            </w:pPr>
            <w:r w:rsidRPr="0053774B">
              <w:rPr>
                <w:rFonts w:asciiTheme="minorHAnsi" w:hAnsiTheme="minorHAnsi"/>
                <w:color w:val="C45911" w:themeColor="accent2" w:themeShade="BF"/>
                <w:sz w:val="20"/>
                <w:szCs w:val="20"/>
              </w:rPr>
              <w:t xml:space="preserve">A área geográfica do Algarve é abrangida por parte da bacia hidrográfica do Rio Guadiana, pelas bacias drenantes dos seus principais afluentes, as ribeiras do Vascão, Foupana, Odeleite e Beliche, e pela designada bacia das ribeiras do Algarve, constituídas pelas ribeiras de Almargem, Quarteira, Alcantarilha, Odelouca, Odiáxere, Aljezur e </w:t>
            </w:r>
            <w:proofErr w:type="spellStart"/>
            <w:r w:rsidRPr="0053774B">
              <w:rPr>
                <w:rFonts w:asciiTheme="minorHAnsi" w:hAnsiTheme="minorHAnsi"/>
                <w:color w:val="C45911" w:themeColor="accent2" w:themeShade="BF"/>
                <w:sz w:val="20"/>
                <w:szCs w:val="20"/>
              </w:rPr>
              <w:t>Seixe</w:t>
            </w:r>
            <w:proofErr w:type="spellEnd"/>
            <w:r w:rsidRPr="0053774B">
              <w:rPr>
                <w:rFonts w:asciiTheme="minorHAnsi" w:hAnsiTheme="minorHAnsi"/>
                <w:color w:val="C45911" w:themeColor="accent2" w:themeShade="BF"/>
                <w:sz w:val="20"/>
                <w:szCs w:val="20"/>
              </w:rPr>
              <w:t xml:space="preserve"> e pelos rios Gilão/</w:t>
            </w:r>
            <w:proofErr w:type="spellStart"/>
            <w:r w:rsidRPr="0053774B">
              <w:rPr>
                <w:rFonts w:asciiTheme="minorHAnsi" w:hAnsiTheme="minorHAnsi"/>
                <w:color w:val="C45911" w:themeColor="accent2" w:themeShade="BF"/>
                <w:sz w:val="20"/>
                <w:szCs w:val="20"/>
              </w:rPr>
              <w:t>Séqua</w:t>
            </w:r>
            <w:proofErr w:type="spellEnd"/>
            <w:r w:rsidRPr="0053774B">
              <w:rPr>
                <w:rFonts w:asciiTheme="minorHAnsi" w:hAnsiTheme="minorHAnsi"/>
                <w:color w:val="C45911" w:themeColor="accent2" w:themeShade="BF"/>
                <w:sz w:val="20"/>
                <w:szCs w:val="20"/>
              </w:rPr>
              <w:t xml:space="preserve"> e Arade, e por outras bacias de menor dimensão.</w:t>
            </w:r>
          </w:p>
          <w:p w:rsidR="0053774B" w:rsidRPr="0053774B" w:rsidRDefault="0053774B" w:rsidP="0053774B">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3"/>
              </w:numPr>
              <w:spacing w:after="0" w:line="240" w:lineRule="auto"/>
              <w:ind w:left="313"/>
              <w:rPr>
                <w:rFonts w:asciiTheme="minorHAnsi" w:hAnsiTheme="minorHAnsi"/>
                <w:sz w:val="20"/>
                <w:szCs w:val="20"/>
              </w:rPr>
            </w:pPr>
            <w:r w:rsidRPr="00C138AF">
              <w:rPr>
                <w:rFonts w:asciiTheme="minorHAnsi" w:hAnsiTheme="minorHAnsi"/>
                <w:sz w:val="20"/>
                <w:szCs w:val="20"/>
              </w:rPr>
              <w:t>Lagoas, lagos e respetivos leitos, margens e faixas de proteção</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D6708D" w:rsidRDefault="0092765C" w:rsidP="00422172">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Deve ter-se em atenção que seja garantida a conetividade hidráulica com as linhas de água que as drenam</w:t>
            </w:r>
          </w:p>
        </w:tc>
        <w:tc>
          <w:tcPr>
            <w:tcW w:w="4110" w:type="dxa"/>
          </w:tcPr>
          <w:p w:rsidR="00786483" w:rsidRPr="00A43990" w:rsidRDefault="00786483" w:rsidP="00F31235">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t>Guia metodológico para delimitação da Reserva Ecológica Nacional em Lisboa e Vale do Tejo – páginas 81 a 83.</w:t>
            </w:r>
          </w:p>
          <w:p w:rsidR="00786483" w:rsidRPr="00A43990" w:rsidRDefault="00786483" w:rsidP="00F31235">
            <w:pPr>
              <w:spacing w:after="0" w:line="240" w:lineRule="auto"/>
              <w:rPr>
                <w:rFonts w:asciiTheme="minorHAnsi" w:hAnsiTheme="minorHAnsi"/>
                <w:i/>
                <w:color w:val="833C0B" w:themeColor="accent2" w:themeShade="80"/>
                <w:sz w:val="20"/>
                <w:szCs w:val="20"/>
              </w:rPr>
            </w:pP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Devem ser confirmadas no terreno a sua existência e origem natural.</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Não se incluem turfeiras, charcas, lagos artificiais e outras massas de água de origem antrópica. Lagoas ou lagos com origem antrópica, que tenham evoluído no sentido da </w:t>
            </w:r>
            <w:r w:rsidRPr="00A43990">
              <w:rPr>
                <w:rFonts w:asciiTheme="minorHAnsi" w:hAnsiTheme="minorHAnsi"/>
                <w:color w:val="833C0B" w:themeColor="accent2" w:themeShade="80"/>
                <w:sz w:val="20"/>
                <w:szCs w:val="20"/>
              </w:rPr>
              <w:lastRenderedPageBreak/>
              <w:t>naturalização, apresentando margens com cobertura vegetal e habitats bem instalados podem integrar a REN, devendo esta opção ser devidamente fundamentada na memória descritiva.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u w:val="single"/>
              </w:rPr>
              <w:t>Leito</w:t>
            </w:r>
            <w:r w:rsidRPr="00A43990">
              <w:rPr>
                <w:rFonts w:asciiTheme="minorHAnsi" w:hAnsiTheme="minorHAnsi"/>
                <w:color w:val="833C0B" w:themeColor="accent2" w:themeShade="80"/>
                <w:sz w:val="20"/>
                <w:szCs w:val="20"/>
              </w:rPr>
              <w:t>:</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Quando são conhecidos os dois valores</w:t>
            </w:r>
            <w:r w:rsidR="00201B5A" w:rsidRPr="00A43990">
              <w:rPr>
                <w:rFonts w:asciiTheme="minorHAnsi" w:hAnsiTheme="minorHAnsi"/>
                <w:color w:val="833C0B" w:themeColor="accent2" w:themeShade="80"/>
                <w:sz w:val="20"/>
                <w:szCs w:val="20"/>
              </w:rPr>
              <w:t xml:space="preserve"> (cheia correspondente ao período de retorno de 100 anos ou maior cheia conhecida)</w:t>
            </w:r>
            <w:r w:rsidRPr="00A43990">
              <w:rPr>
                <w:rFonts w:asciiTheme="minorHAnsi" w:hAnsiTheme="minorHAnsi"/>
                <w:color w:val="833C0B" w:themeColor="accent2" w:themeShade="80"/>
                <w:sz w:val="20"/>
                <w:szCs w:val="20"/>
              </w:rPr>
              <w:t xml:space="preserve"> deve optar-se pelo maior.</w:t>
            </w:r>
          </w:p>
          <w:p w:rsidR="00F31235" w:rsidRPr="00A43990" w:rsidRDefault="00F31235" w:rsidP="00F31235">
            <w:pPr>
              <w:spacing w:after="0" w:line="240" w:lineRule="auto"/>
              <w:rPr>
                <w:rFonts w:asciiTheme="minorHAnsi" w:hAnsiTheme="minorHAnsi"/>
                <w:color w:val="833C0B" w:themeColor="accent2" w:themeShade="80"/>
                <w:sz w:val="20"/>
                <w:szCs w:val="20"/>
                <w:u w:val="single"/>
              </w:rPr>
            </w:pPr>
            <w:r w:rsidRPr="00A43990">
              <w:rPr>
                <w:rFonts w:asciiTheme="minorHAnsi" w:hAnsiTheme="minorHAnsi"/>
                <w:color w:val="833C0B" w:themeColor="accent2" w:themeShade="80"/>
                <w:sz w:val="20"/>
                <w:szCs w:val="20"/>
                <w:u w:val="single"/>
              </w:rPr>
              <w:t>Margem</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Quando a margem tiver natureza de praia em extensão superior à estabelecida estende-se até onde o terreno apresentar tal natureza.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Sempre que existente é considerada a demarcação oficial de margem</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u w:val="single"/>
              </w:rPr>
              <w:t>Faixa de proteção</w:t>
            </w:r>
            <w:r w:rsidRPr="00A43990">
              <w:rPr>
                <w:rFonts w:asciiTheme="minorHAnsi" w:hAnsiTheme="minorHAnsi"/>
                <w:color w:val="833C0B" w:themeColor="accent2" w:themeShade="80"/>
                <w:sz w:val="20"/>
                <w:szCs w:val="20"/>
              </w:rPr>
              <w:t>:</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determinação da largura da faixa de proteção para além da margem é devidamente documentada e justificada em memória descritiva.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faixa de proteção deve ajustar-se ao terreno em função da avaliação efetuada.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representação gráfica das diferentes componentes (leito, margem e faixa de proteção) é feita de forma independente.</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Considerar a </w:t>
            </w:r>
            <w:proofErr w:type="spellStart"/>
            <w:r w:rsidRPr="00A43990">
              <w:rPr>
                <w:rFonts w:asciiTheme="minorHAnsi" w:hAnsiTheme="minorHAnsi"/>
                <w:color w:val="833C0B" w:themeColor="accent2" w:themeShade="80"/>
                <w:sz w:val="20"/>
                <w:szCs w:val="20"/>
              </w:rPr>
              <w:t>drenância</w:t>
            </w:r>
            <w:proofErr w:type="spellEnd"/>
            <w:r w:rsidRPr="00A43990">
              <w:rPr>
                <w:rFonts w:asciiTheme="minorHAnsi" w:hAnsiTheme="minorHAnsi"/>
                <w:color w:val="833C0B" w:themeColor="accent2" w:themeShade="80"/>
                <w:sz w:val="20"/>
                <w:szCs w:val="20"/>
              </w:rPr>
              <w:t xml:space="preserve"> entre as lagoas ou lagos e os aquíferos com os quais se conectam na medida em que alterações significativas do nível freático podem ter efeitos negativos importantes nas comunidades daqueles ecossistemas.</w:t>
            </w:r>
          </w:p>
          <w:p w:rsidR="00F93A13" w:rsidRPr="00A43990" w:rsidRDefault="00F93A13" w:rsidP="00F31235">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952B5A" w:rsidRDefault="00952B5A" w:rsidP="009F7B67">
            <w:pPr>
              <w:spacing w:after="0" w:line="240" w:lineRule="auto"/>
              <w:rPr>
                <w:rFonts w:asciiTheme="minorHAnsi" w:hAnsiTheme="minorHAnsi"/>
                <w:i/>
                <w:color w:val="C45911" w:themeColor="accent2" w:themeShade="BF"/>
                <w:sz w:val="20"/>
                <w:szCs w:val="20"/>
              </w:rPr>
            </w:pPr>
            <w:r w:rsidRPr="0053774B">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áginas 51</w:t>
            </w:r>
            <w:r w:rsidRPr="0053774B">
              <w:rPr>
                <w:rFonts w:asciiTheme="minorHAnsi" w:hAnsiTheme="minorHAnsi"/>
                <w:i/>
                <w:color w:val="C45911" w:themeColor="accent2" w:themeShade="BF"/>
                <w:sz w:val="20"/>
                <w:szCs w:val="20"/>
              </w:rPr>
              <w:t xml:space="preserve"> a </w:t>
            </w:r>
            <w:r>
              <w:rPr>
                <w:rFonts w:asciiTheme="minorHAnsi" w:hAnsiTheme="minorHAnsi"/>
                <w:i/>
                <w:color w:val="C45911" w:themeColor="accent2" w:themeShade="BF"/>
                <w:sz w:val="20"/>
                <w:szCs w:val="20"/>
              </w:rPr>
              <w:t>55</w:t>
            </w:r>
            <w:r w:rsidRPr="0053774B">
              <w:rPr>
                <w:rFonts w:asciiTheme="minorHAnsi" w:hAnsiTheme="minorHAnsi"/>
                <w:i/>
                <w:color w:val="C45911" w:themeColor="accent2" w:themeShade="BF"/>
                <w:sz w:val="20"/>
                <w:szCs w:val="20"/>
              </w:rPr>
              <w:t>.</w:t>
            </w:r>
          </w:p>
          <w:p w:rsidR="009F7B67" w:rsidRPr="009F7B67" w:rsidRDefault="009F7B67" w:rsidP="009F7B67">
            <w:pPr>
              <w:spacing w:after="0" w:line="240" w:lineRule="auto"/>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t xml:space="preserve">Na Região do Algarve há a considerar as seguintes lagoas: </w:t>
            </w:r>
          </w:p>
          <w:p w:rsidR="009F7B67" w:rsidRPr="009F7B67" w:rsidRDefault="009F7B67"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t>Salgados (Albufeira);</w:t>
            </w:r>
          </w:p>
          <w:p w:rsidR="009F7B67" w:rsidRPr="009F7B67" w:rsidRDefault="009F7B67"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t>Dunas Douradas, Vale do Garrão, Almargem e Carcavai (Loulé);</w:t>
            </w:r>
          </w:p>
          <w:p w:rsidR="009F7B67" w:rsidRPr="009F7B67" w:rsidRDefault="009F7B67"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t>Alcantarilha (Silves);</w:t>
            </w:r>
          </w:p>
          <w:p w:rsidR="009F7B67" w:rsidRPr="009F7B67" w:rsidRDefault="009F7B67"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t>Budens (Lagos);</w:t>
            </w:r>
          </w:p>
          <w:p w:rsidR="009F7B67" w:rsidRPr="009F7B67" w:rsidRDefault="009F7B67"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lastRenderedPageBreak/>
              <w:t>Nave (</w:t>
            </w:r>
            <w:proofErr w:type="spellStart"/>
            <w:r w:rsidRPr="009F7B67">
              <w:rPr>
                <w:rFonts w:asciiTheme="minorHAnsi" w:hAnsiTheme="minorHAnsi"/>
                <w:color w:val="C45911" w:themeColor="accent2" w:themeShade="BF"/>
                <w:sz w:val="20"/>
                <w:szCs w:val="20"/>
              </w:rPr>
              <w:t>S.B.Alportel</w:t>
            </w:r>
            <w:proofErr w:type="spellEnd"/>
            <w:r w:rsidRPr="009F7B67">
              <w:rPr>
                <w:rFonts w:asciiTheme="minorHAnsi" w:hAnsiTheme="minorHAnsi"/>
                <w:color w:val="C45911" w:themeColor="accent2" w:themeShade="BF"/>
                <w:sz w:val="20"/>
                <w:szCs w:val="20"/>
              </w:rPr>
              <w:t>);</w:t>
            </w:r>
          </w:p>
          <w:p w:rsidR="00422172" w:rsidRDefault="009F7B67" w:rsidP="00903638">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t xml:space="preserve">Jardim, Funda, </w:t>
            </w:r>
            <w:proofErr w:type="spellStart"/>
            <w:r w:rsidRPr="009F7B67">
              <w:rPr>
                <w:rFonts w:asciiTheme="minorHAnsi" w:hAnsiTheme="minorHAnsi"/>
                <w:color w:val="C45911" w:themeColor="accent2" w:themeShade="BF"/>
                <w:sz w:val="20"/>
                <w:szCs w:val="20"/>
              </w:rPr>
              <w:t>Ruaz</w:t>
            </w:r>
            <w:proofErr w:type="spellEnd"/>
            <w:r w:rsidRPr="009F7B67">
              <w:rPr>
                <w:rFonts w:asciiTheme="minorHAnsi" w:hAnsiTheme="minorHAnsi"/>
                <w:color w:val="C45911" w:themeColor="accent2" w:themeShade="BF"/>
                <w:sz w:val="20"/>
                <w:szCs w:val="20"/>
              </w:rPr>
              <w:t xml:space="preserve">, </w:t>
            </w:r>
            <w:proofErr w:type="spellStart"/>
            <w:r w:rsidRPr="009F7B67">
              <w:rPr>
                <w:rFonts w:asciiTheme="minorHAnsi" w:hAnsiTheme="minorHAnsi"/>
                <w:color w:val="C45911" w:themeColor="accent2" w:themeShade="BF"/>
                <w:sz w:val="20"/>
                <w:szCs w:val="20"/>
              </w:rPr>
              <w:t>Bordoal</w:t>
            </w:r>
            <w:proofErr w:type="spellEnd"/>
            <w:r w:rsidRPr="009F7B67">
              <w:rPr>
                <w:rFonts w:asciiTheme="minorHAnsi" w:hAnsiTheme="minorHAnsi"/>
                <w:color w:val="C45911" w:themeColor="accent2" w:themeShade="BF"/>
                <w:sz w:val="20"/>
                <w:szCs w:val="20"/>
              </w:rPr>
              <w:t xml:space="preserve">, Garcia, </w:t>
            </w:r>
            <w:proofErr w:type="spellStart"/>
            <w:r w:rsidRPr="009F7B67">
              <w:rPr>
                <w:rFonts w:asciiTheme="minorHAnsi" w:hAnsiTheme="minorHAnsi"/>
                <w:color w:val="C45911" w:themeColor="accent2" w:themeShade="BF"/>
                <w:sz w:val="20"/>
                <w:szCs w:val="20"/>
              </w:rPr>
              <w:t>Janines</w:t>
            </w:r>
            <w:proofErr w:type="spellEnd"/>
            <w:r w:rsidRPr="009F7B67">
              <w:rPr>
                <w:rFonts w:asciiTheme="minorHAnsi" w:hAnsiTheme="minorHAnsi"/>
                <w:color w:val="C45911" w:themeColor="accent2" w:themeShade="BF"/>
                <w:sz w:val="20"/>
                <w:szCs w:val="20"/>
              </w:rPr>
              <w:t xml:space="preserve">, </w:t>
            </w:r>
            <w:proofErr w:type="spellStart"/>
            <w:r w:rsidRPr="009F7B67">
              <w:rPr>
                <w:rFonts w:asciiTheme="minorHAnsi" w:hAnsiTheme="minorHAnsi"/>
                <w:color w:val="C45911" w:themeColor="accent2" w:themeShade="BF"/>
                <w:sz w:val="20"/>
                <w:szCs w:val="20"/>
              </w:rPr>
              <w:t>Sequiadouro</w:t>
            </w:r>
            <w:proofErr w:type="spellEnd"/>
            <w:r w:rsidRPr="009F7B67">
              <w:rPr>
                <w:rFonts w:asciiTheme="minorHAnsi" w:hAnsiTheme="minorHAnsi"/>
                <w:color w:val="C45911" w:themeColor="accent2" w:themeShade="BF"/>
                <w:sz w:val="20"/>
                <w:szCs w:val="20"/>
              </w:rPr>
              <w:t xml:space="preserve"> e </w:t>
            </w:r>
            <w:proofErr w:type="spellStart"/>
            <w:r w:rsidRPr="009F7B67">
              <w:rPr>
                <w:rFonts w:asciiTheme="minorHAnsi" w:hAnsiTheme="minorHAnsi"/>
                <w:color w:val="C45911" w:themeColor="accent2" w:themeShade="BF"/>
                <w:sz w:val="20"/>
                <w:szCs w:val="20"/>
              </w:rPr>
              <w:t>Arrojadouro</w:t>
            </w:r>
            <w:proofErr w:type="spellEnd"/>
            <w:r w:rsidRPr="009F7B67">
              <w:rPr>
                <w:rFonts w:asciiTheme="minorHAnsi" w:hAnsiTheme="minorHAnsi"/>
                <w:color w:val="C45911" w:themeColor="accent2" w:themeShade="BF"/>
                <w:sz w:val="20"/>
                <w:szCs w:val="20"/>
              </w:rPr>
              <w:t xml:space="preserve"> (Vila do Bispo).</w:t>
            </w:r>
          </w:p>
          <w:p w:rsidR="009F7B67" w:rsidRPr="009F7B67" w:rsidRDefault="009F7B67" w:rsidP="009F7B67">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3"/>
              </w:numPr>
              <w:spacing w:after="0" w:line="240" w:lineRule="auto"/>
              <w:ind w:left="313"/>
              <w:rPr>
                <w:rFonts w:asciiTheme="minorHAnsi" w:hAnsiTheme="minorHAnsi"/>
                <w:sz w:val="20"/>
                <w:szCs w:val="20"/>
              </w:rPr>
            </w:pPr>
            <w:r w:rsidRPr="00C138AF">
              <w:rPr>
                <w:rFonts w:asciiTheme="minorHAnsi" w:hAnsiTheme="minorHAnsi"/>
                <w:sz w:val="20"/>
                <w:szCs w:val="20"/>
              </w:rPr>
              <w:lastRenderedPageBreak/>
              <w:t>Albufeiras que contribuem para a conetividade e coerência ecológica da REN, com os respetivos leitos, margens e faixas de proteção</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143CB" w:rsidRPr="00D6708D" w:rsidRDefault="004143CB" w:rsidP="004143CB">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Esta tipologia integra a identificação de três componentes, nomeadamente, Leitos das albufeiras,</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Margens e Faixa de proteção contígua à margem.</w:t>
            </w:r>
          </w:p>
          <w:p w:rsidR="004143CB" w:rsidRDefault="004143CB" w:rsidP="00D6708D">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u w:val="single"/>
              </w:rPr>
              <w:t>Margem</w:t>
            </w:r>
            <w:r>
              <w:rPr>
                <w:rFonts w:asciiTheme="minorHAnsi" w:hAnsiTheme="minorHAnsi"/>
                <w:color w:val="2E74B5" w:themeColor="accent1" w:themeShade="BF"/>
                <w:sz w:val="20"/>
                <w:szCs w:val="20"/>
              </w:rPr>
              <w:t>:</w:t>
            </w:r>
          </w:p>
          <w:p w:rsidR="00422172" w:rsidRDefault="004143CB" w:rsidP="00D6708D">
            <w:pPr>
              <w:spacing w:after="0" w:line="240" w:lineRule="auto"/>
              <w:rPr>
                <w:rFonts w:asciiTheme="minorHAnsi" w:hAnsiTheme="minorHAnsi"/>
                <w:color w:val="2E74B5" w:themeColor="accent1" w:themeShade="BF"/>
                <w:sz w:val="20"/>
                <w:szCs w:val="20"/>
              </w:rPr>
            </w:pPr>
            <w:r>
              <w:rPr>
                <w:rFonts w:asciiTheme="minorHAnsi" w:hAnsiTheme="minorHAnsi"/>
                <w:color w:val="2E74B5" w:themeColor="accent1" w:themeShade="BF"/>
                <w:sz w:val="20"/>
                <w:szCs w:val="20"/>
              </w:rPr>
              <w:t>T</w:t>
            </w:r>
            <w:r w:rsidRPr="00D6708D">
              <w:rPr>
                <w:rFonts w:asciiTheme="minorHAnsi" w:hAnsiTheme="minorHAnsi"/>
                <w:color w:val="2E74B5" w:themeColor="accent1" w:themeShade="BF"/>
                <w:sz w:val="20"/>
                <w:szCs w:val="20"/>
              </w:rPr>
              <w:t>em por base o disposto na Lei n.º 58/2005, de 29 de dezembro (Lei da Água) e na Lei n.º</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54/2005, de 15 de Novembro (Lei da Titularidade dos Recursos Hídricos), com alterações pela Lei n.º</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78/2013, de 21 de novembro e pela Lei n.º 34/2014, de 19 de junho, de igual modo ao já referido para o</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 xml:space="preserve">caso de delimitação das margens relativas aos cursos de água, correspondendo a uma largura de </w:t>
            </w:r>
            <w:r w:rsidRPr="00D6708D">
              <w:rPr>
                <w:rFonts w:asciiTheme="minorHAnsi" w:hAnsiTheme="minorHAnsi"/>
                <w:b/>
                <w:color w:val="2E74B5" w:themeColor="accent1" w:themeShade="BF"/>
                <w:sz w:val="20"/>
                <w:szCs w:val="20"/>
              </w:rPr>
              <w:t>30 metros a partir do NPA.</w:t>
            </w:r>
          </w:p>
          <w:p w:rsidR="004143CB" w:rsidRDefault="004143CB" w:rsidP="004143CB">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u w:val="single"/>
              </w:rPr>
              <w:t>Faixa de proteção</w:t>
            </w:r>
            <w:r>
              <w:rPr>
                <w:rFonts w:asciiTheme="minorHAnsi" w:hAnsiTheme="minorHAnsi"/>
                <w:color w:val="2E74B5" w:themeColor="accent1" w:themeShade="BF"/>
                <w:sz w:val="20"/>
                <w:szCs w:val="20"/>
              </w:rPr>
              <w:t>:</w:t>
            </w:r>
          </w:p>
          <w:p w:rsidR="004143CB" w:rsidRPr="004143CB" w:rsidRDefault="004143CB" w:rsidP="004143CB">
            <w:pPr>
              <w:spacing w:after="0" w:line="240" w:lineRule="auto"/>
              <w:rPr>
                <w:rFonts w:asciiTheme="minorHAnsi" w:hAnsiTheme="minorHAnsi"/>
                <w:color w:val="2E74B5" w:themeColor="accent1" w:themeShade="BF"/>
                <w:sz w:val="20"/>
                <w:szCs w:val="20"/>
              </w:rPr>
            </w:pPr>
            <w:r>
              <w:rPr>
                <w:rFonts w:asciiTheme="minorHAnsi" w:hAnsiTheme="minorHAnsi"/>
                <w:color w:val="2E74B5" w:themeColor="accent1" w:themeShade="BF"/>
                <w:sz w:val="20"/>
                <w:szCs w:val="20"/>
              </w:rPr>
              <w:t>C</w:t>
            </w:r>
            <w:r w:rsidRPr="004143CB">
              <w:rPr>
                <w:rFonts w:asciiTheme="minorHAnsi" w:hAnsiTheme="minorHAnsi"/>
                <w:color w:val="2E74B5" w:themeColor="accent1" w:themeShade="BF"/>
                <w:sz w:val="20"/>
                <w:szCs w:val="20"/>
              </w:rPr>
              <w:t>ontígua à margem já inclui a margem pré-definida. Na sua delimitação, face ao</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t>referido no RJREN (alínea c, Secção II, Anexo I), a Faixa de Proteção “deve considerar a dimensão da</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t>albufeira e a sua situação na bacia hidrográfica”, a qual segundo a Resolução de Conselho de Ministros</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t>n.º 81/2012, de 3 de outubro, com a redação conferida pela Declaração de Retificação n.º 71/2012, de 30</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lastRenderedPageBreak/>
              <w:t>de novembro, deve ser desenvolvida através de uma “avaliação casuística devidamente descrita e</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t>fundamentada, adotando sempre, como valor mínimo, a largura de 100 m, medida na horizontal”.</w:t>
            </w:r>
          </w:p>
          <w:p w:rsidR="004143CB" w:rsidRPr="00D6708D" w:rsidRDefault="004143CB" w:rsidP="00D6708D">
            <w:pPr>
              <w:spacing w:after="0" w:line="240" w:lineRule="auto"/>
              <w:rPr>
                <w:rFonts w:asciiTheme="minorHAnsi" w:hAnsiTheme="minorHAnsi"/>
                <w:color w:val="2E74B5" w:themeColor="accent1" w:themeShade="BF"/>
                <w:sz w:val="20"/>
                <w:szCs w:val="20"/>
              </w:rPr>
            </w:pPr>
            <w:r w:rsidRPr="004143CB">
              <w:rPr>
                <w:rFonts w:asciiTheme="minorHAnsi" w:hAnsiTheme="minorHAnsi"/>
                <w:color w:val="2E74B5" w:themeColor="accent1" w:themeShade="BF"/>
                <w:sz w:val="20"/>
                <w:szCs w:val="20"/>
              </w:rPr>
              <w:t>Esta largura mínima de 100 metros respeita o explícito no Decreto-Lei n.º 107/2009, de 15 de maio, que</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t>estabelece o regime de proteção das albufeiras de água públicas de serviço público e das lagoas ou lagos</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t>de água públicas, nomeadamente, no que se refere à definição de “zona reservada” e que corresponde à</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t>“faixa, medida na horizontal, com a largura de 100 m, contados a partir da linha do nível de pleno</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t>armazenamento no caso das albufeiras de águas públicas, e da linha limite do leito, quando se trate de</w:t>
            </w:r>
            <w:r>
              <w:rPr>
                <w:rFonts w:asciiTheme="minorHAnsi" w:hAnsiTheme="minorHAnsi"/>
                <w:color w:val="2E74B5" w:themeColor="accent1" w:themeShade="BF"/>
                <w:sz w:val="20"/>
                <w:szCs w:val="20"/>
              </w:rPr>
              <w:t xml:space="preserve"> </w:t>
            </w:r>
            <w:r w:rsidRPr="004143CB">
              <w:rPr>
                <w:rFonts w:asciiTheme="minorHAnsi" w:hAnsiTheme="minorHAnsi"/>
                <w:color w:val="2E74B5" w:themeColor="accent1" w:themeShade="BF"/>
                <w:sz w:val="20"/>
                <w:szCs w:val="20"/>
              </w:rPr>
              <w:t>lagoas ou lagos de águas públicas” (artigo 3º, alínea v)).</w:t>
            </w:r>
          </w:p>
        </w:tc>
        <w:tc>
          <w:tcPr>
            <w:tcW w:w="4110" w:type="dxa"/>
          </w:tcPr>
          <w:p w:rsidR="00786483" w:rsidRPr="00A43990" w:rsidRDefault="00786483" w:rsidP="00422172">
            <w:pPr>
              <w:spacing w:after="0" w:line="240" w:lineRule="auto"/>
              <w:rPr>
                <w:rFonts w:asciiTheme="minorHAnsi" w:hAnsiTheme="minorHAnsi"/>
                <w:i/>
                <w:color w:val="833C0B" w:themeColor="accent2" w:themeShade="80"/>
                <w:sz w:val="20"/>
                <w:szCs w:val="20"/>
              </w:rPr>
            </w:pPr>
            <w:r w:rsidRPr="00A43990">
              <w:rPr>
                <w:rFonts w:asciiTheme="minorHAnsi" w:hAnsiTheme="minorHAnsi"/>
                <w:i/>
                <w:color w:val="833C0B" w:themeColor="accent2" w:themeShade="80"/>
                <w:sz w:val="20"/>
                <w:szCs w:val="20"/>
              </w:rPr>
              <w:lastRenderedPageBreak/>
              <w:t>Guia metodológico para delimitação da Reserva Ecológica Nacional em Lisboa e Vale do Tejo – páginas 84 e 85.</w:t>
            </w:r>
          </w:p>
          <w:p w:rsidR="00786483" w:rsidRPr="00A43990" w:rsidRDefault="00786483" w:rsidP="00422172">
            <w:pPr>
              <w:spacing w:after="0" w:line="240" w:lineRule="auto"/>
              <w:rPr>
                <w:rFonts w:asciiTheme="minorHAnsi" w:hAnsiTheme="minorHAnsi"/>
                <w:i/>
                <w:color w:val="833C0B" w:themeColor="accent2" w:themeShade="80"/>
                <w:sz w:val="20"/>
                <w:szCs w:val="20"/>
              </w:rPr>
            </w:pPr>
          </w:p>
          <w:p w:rsidR="00F31235" w:rsidRPr="00A43990" w:rsidRDefault="00F31235" w:rsidP="0042217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Os pequenos aproveitamentos hídricos não classificados como de águas públicas de serviço público e com capacidade inferior a 100.000m3 integram a tipologia cursos de água.</w:t>
            </w:r>
          </w:p>
          <w:p w:rsidR="00F31235" w:rsidRPr="00A43990" w:rsidRDefault="00F31235" w:rsidP="00422172">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u w:val="single"/>
              </w:rPr>
              <w:t>Margem</w:t>
            </w:r>
            <w:r w:rsidRPr="00A43990">
              <w:rPr>
                <w:rFonts w:asciiTheme="minorHAnsi" w:hAnsiTheme="minorHAnsi"/>
                <w:color w:val="833C0B" w:themeColor="accent2" w:themeShade="80"/>
                <w:sz w:val="20"/>
                <w:szCs w:val="20"/>
              </w:rPr>
              <w:t>:</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Quando a margem tiver natureza de praia em extensão superior à estabelecida estende-se até onde o terreno apresentar tal natureza.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Sempre que existente é considerada a demarcação oficial de margem.</w:t>
            </w:r>
          </w:p>
          <w:p w:rsidR="00F31235" w:rsidRPr="00A43990" w:rsidRDefault="00F31235" w:rsidP="00F31235">
            <w:pPr>
              <w:spacing w:after="0" w:line="240" w:lineRule="auto"/>
              <w:rPr>
                <w:rFonts w:asciiTheme="minorHAnsi" w:hAnsiTheme="minorHAnsi"/>
                <w:color w:val="833C0B" w:themeColor="accent2" w:themeShade="80"/>
                <w:sz w:val="20"/>
                <w:szCs w:val="20"/>
                <w:u w:val="single"/>
              </w:rPr>
            </w:pPr>
            <w:r w:rsidRPr="00A43990">
              <w:rPr>
                <w:rFonts w:asciiTheme="minorHAnsi" w:hAnsiTheme="minorHAnsi"/>
                <w:color w:val="833C0B" w:themeColor="accent2" w:themeShade="80"/>
                <w:sz w:val="20"/>
                <w:szCs w:val="20"/>
                <w:u w:val="single"/>
              </w:rPr>
              <w:t>Faixa de proteção</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determinação da largura da faixa de proteção para além da margem é devidamente documentada e justificada em memória descritiva.</w:t>
            </w:r>
          </w:p>
          <w:p w:rsidR="00F31235" w:rsidRPr="00A43990" w:rsidRDefault="00F31235" w:rsidP="00F31235">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representação gráfica do leito, da margem e da faixa de proteção é feita de forma independente.</w:t>
            </w:r>
          </w:p>
          <w:p w:rsidR="00F93A13" w:rsidRPr="00A43990" w:rsidRDefault="00F93A13" w:rsidP="00F31235">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A lista das albufeiras a integrar a REN é fornecida ou verificada pela APA, I</w:t>
            </w:r>
            <w:r w:rsidR="00F4625C">
              <w:rPr>
                <w:rFonts w:asciiTheme="minorHAnsi" w:hAnsiTheme="minorHAnsi"/>
                <w:color w:val="BF8F00" w:themeColor="accent4" w:themeShade="BF"/>
                <w:sz w:val="20"/>
                <w:szCs w:val="20"/>
              </w:rPr>
              <w:t>.</w:t>
            </w:r>
            <w:r w:rsidRPr="00C138AF">
              <w:rPr>
                <w:rFonts w:asciiTheme="minorHAnsi" w:hAnsiTheme="minorHAnsi"/>
                <w:color w:val="BF8F00" w:themeColor="accent4" w:themeShade="BF"/>
                <w:sz w:val="20"/>
                <w:szCs w:val="20"/>
              </w:rPr>
              <w:t>P</w:t>
            </w:r>
            <w:r w:rsidR="00F4625C">
              <w:rPr>
                <w:rFonts w:asciiTheme="minorHAnsi" w:hAnsiTheme="minorHAnsi"/>
                <w:color w:val="BF8F00" w:themeColor="accent4" w:themeShade="BF"/>
                <w:sz w:val="20"/>
                <w:szCs w:val="20"/>
              </w:rPr>
              <w:t>.</w:t>
            </w:r>
            <w:r w:rsidRPr="00C138AF">
              <w:rPr>
                <w:rFonts w:asciiTheme="minorHAnsi" w:hAnsiTheme="minorHAnsi"/>
                <w:color w:val="BF8F00" w:themeColor="accent4" w:themeShade="BF"/>
                <w:sz w:val="20"/>
                <w:szCs w:val="20"/>
              </w:rPr>
              <w:t>.</w:t>
            </w:r>
          </w:p>
        </w:tc>
        <w:tc>
          <w:tcPr>
            <w:tcW w:w="4110" w:type="dxa"/>
          </w:tcPr>
          <w:p w:rsidR="00D63690" w:rsidRDefault="00D63690" w:rsidP="009F7B67">
            <w:pPr>
              <w:spacing w:after="0" w:line="240" w:lineRule="auto"/>
              <w:rPr>
                <w:rFonts w:asciiTheme="minorHAnsi" w:hAnsiTheme="minorHAnsi"/>
                <w:i/>
                <w:color w:val="C45911" w:themeColor="accent2" w:themeShade="BF"/>
                <w:sz w:val="20"/>
                <w:szCs w:val="20"/>
              </w:rPr>
            </w:pPr>
            <w:r w:rsidRPr="0053774B">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áginas 56</w:t>
            </w:r>
            <w:r w:rsidRPr="0053774B">
              <w:rPr>
                <w:rFonts w:asciiTheme="minorHAnsi" w:hAnsiTheme="minorHAnsi"/>
                <w:i/>
                <w:color w:val="C45911" w:themeColor="accent2" w:themeShade="BF"/>
                <w:sz w:val="20"/>
                <w:szCs w:val="20"/>
              </w:rPr>
              <w:t xml:space="preserve"> a </w:t>
            </w:r>
            <w:r>
              <w:rPr>
                <w:rFonts w:asciiTheme="minorHAnsi" w:hAnsiTheme="minorHAnsi"/>
                <w:i/>
                <w:color w:val="C45911" w:themeColor="accent2" w:themeShade="BF"/>
                <w:sz w:val="20"/>
                <w:szCs w:val="20"/>
              </w:rPr>
              <w:t>59</w:t>
            </w:r>
            <w:r w:rsidRPr="0053774B">
              <w:rPr>
                <w:rFonts w:asciiTheme="minorHAnsi" w:hAnsiTheme="minorHAnsi"/>
                <w:i/>
                <w:color w:val="C45911" w:themeColor="accent2" w:themeShade="BF"/>
                <w:sz w:val="20"/>
                <w:szCs w:val="20"/>
              </w:rPr>
              <w:t>.</w:t>
            </w:r>
          </w:p>
          <w:p w:rsidR="009F7B67" w:rsidRPr="009F7B67" w:rsidRDefault="009F7B67" w:rsidP="009F7B67">
            <w:pPr>
              <w:spacing w:after="0" w:line="240" w:lineRule="auto"/>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t>Na Região do Algarve há a considerar as Albufeiras da Bravura, Funcho/Arade, Odelouca, Beliche, Odeleite, Pereiro, Vascão e Alcoutim.</w:t>
            </w:r>
          </w:p>
          <w:p w:rsidR="009F7B67" w:rsidRPr="009F7B67" w:rsidRDefault="009F7B67" w:rsidP="009F7B67">
            <w:pPr>
              <w:spacing w:after="0" w:line="240" w:lineRule="auto"/>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t>A inclusão de outras albufeiras deverá ser considerada caso a caso, em função da superfície abrangida pelo plano de água, do volume de água armazenado e do uso a que se destina.</w:t>
            </w:r>
          </w:p>
          <w:p w:rsidR="00422172" w:rsidRDefault="009F7B67" w:rsidP="009F7B67">
            <w:pPr>
              <w:spacing w:after="0" w:line="240" w:lineRule="auto"/>
              <w:rPr>
                <w:rFonts w:asciiTheme="minorHAnsi" w:hAnsiTheme="minorHAnsi"/>
                <w:color w:val="C45911" w:themeColor="accent2" w:themeShade="BF"/>
                <w:sz w:val="20"/>
                <w:szCs w:val="20"/>
              </w:rPr>
            </w:pPr>
            <w:r w:rsidRPr="009F7B67">
              <w:rPr>
                <w:rFonts w:asciiTheme="minorHAnsi" w:hAnsiTheme="minorHAnsi"/>
                <w:color w:val="C45911" w:themeColor="accent2" w:themeShade="BF"/>
                <w:sz w:val="20"/>
                <w:szCs w:val="20"/>
              </w:rPr>
              <w:t>Quando não elegíveis nesta tipologia da REN, deverão integrar a Rede Hidrográfica Fundamental (linhas de água e respetivos leitos e margens).</w:t>
            </w:r>
          </w:p>
          <w:p w:rsidR="009F7B67" w:rsidRPr="009F7B67" w:rsidRDefault="009F7B67" w:rsidP="009F7B67">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3"/>
              </w:numPr>
              <w:spacing w:after="0" w:line="240" w:lineRule="auto"/>
              <w:ind w:left="313"/>
              <w:rPr>
                <w:rFonts w:asciiTheme="minorHAnsi" w:hAnsiTheme="minorHAnsi"/>
                <w:sz w:val="20"/>
                <w:szCs w:val="20"/>
              </w:rPr>
            </w:pPr>
            <w:r w:rsidRPr="00C138AF">
              <w:rPr>
                <w:rFonts w:asciiTheme="minorHAnsi" w:hAnsiTheme="minorHAnsi"/>
                <w:sz w:val="20"/>
                <w:szCs w:val="20"/>
              </w:rPr>
              <w:lastRenderedPageBreak/>
              <w:t>Áreas estratégicas de proteção e recarga de aquíferos (AEPRA)</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356FEE" w:rsidRPr="00D6708D" w:rsidRDefault="006B3EA2" w:rsidP="00356FEE">
            <w:pPr>
              <w:spacing w:after="0" w:line="240" w:lineRule="auto"/>
              <w:rPr>
                <w:rFonts w:asciiTheme="minorHAnsi" w:hAnsiTheme="minorHAnsi"/>
                <w:color w:val="2E74B5" w:themeColor="accent1" w:themeShade="BF"/>
                <w:sz w:val="20"/>
                <w:szCs w:val="20"/>
              </w:rPr>
            </w:pPr>
            <w:r>
              <w:rPr>
                <w:rFonts w:asciiTheme="minorHAnsi" w:hAnsiTheme="minorHAnsi"/>
                <w:color w:val="2E74B5" w:themeColor="accent1" w:themeShade="BF"/>
                <w:sz w:val="20"/>
                <w:szCs w:val="20"/>
              </w:rPr>
              <w:t>Para além das características geológicas em presença, a</w:t>
            </w:r>
            <w:r w:rsidR="00356FEE" w:rsidRPr="00D6708D">
              <w:rPr>
                <w:rFonts w:asciiTheme="minorHAnsi" w:hAnsiTheme="minorHAnsi"/>
                <w:color w:val="2E74B5" w:themeColor="accent1" w:themeShade="BF"/>
                <w:sz w:val="20"/>
                <w:szCs w:val="20"/>
              </w:rPr>
              <w:t xml:space="preserve"> delimitação desta tipologia da REN </w:t>
            </w:r>
            <w:r>
              <w:rPr>
                <w:rFonts w:asciiTheme="minorHAnsi" w:hAnsiTheme="minorHAnsi"/>
                <w:color w:val="2E74B5" w:themeColor="accent1" w:themeShade="BF"/>
                <w:sz w:val="20"/>
                <w:szCs w:val="20"/>
              </w:rPr>
              <w:t>considera também</w:t>
            </w:r>
            <w:r w:rsidR="00356FEE" w:rsidRPr="00D6708D">
              <w:rPr>
                <w:rFonts w:asciiTheme="minorHAnsi" w:hAnsiTheme="minorHAnsi"/>
                <w:color w:val="2E74B5" w:themeColor="accent1" w:themeShade="BF"/>
                <w:sz w:val="20"/>
                <w:szCs w:val="20"/>
              </w:rPr>
              <w:t>:</w:t>
            </w:r>
          </w:p>
          <w:p w:rsidR="006B3EA2" w:rsidRPr="006B3EA2" w:rsidRDefault="00356FEE" w:rsidP="00D6708D">
            <w:pPr>
              <w:pStyle w:val="PargrafodaLista"/>
              <w:numPr>
                <w:ilvl w:val="0"/>
                <w:numId w:val="17"/>
              </w:num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Terrenos permeáveis de formações sedimentares modernas, como as aluviões e depósitos</w:t>
            </w:r>
            <w:r w:rsidR="006B3EA2" w:rsidRPr="00D6708D">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sedimentares de vertente, terraços fluviais, (à exceção de terrenos fortemente argilosos), considerados</w:t>
            </w:r>
            <w:r w:rsidR="006B3EA2" w:rsidRPr="00D6708D">
              <w:rPr>
                <w:rFonts w:asciiTheme="minorHAnsi" w:hAnsiTheme="minorHAnsi"/>
                <w:color w:val="2E74B5" w:themeColor="accent1" w:themeShade="BF"/>
                <w:sz w:val="20"/>
                <w:szCs w:val="20"/>
              </w:rPr>
              <w:t xml:space="preserve"> com permeabilidade por porosidade e recarga difusa, associados às principais linhas de água, </w:t>
            </w:r>
            <w:r w:rsidR="006B3EA2" w:rsidRPr="006B3EA2">
              <w:rPr>
                <w:rFonts w:asciiTheme="minorHAnsi" w:hAnsiTheme="minorHAnsi"/>
                <w:color w:val="2E74B5" w:themeColor="accent1" w:themeShade="BF"/>
                <w:sz w:val="20"/>
                <w:szCs w:val="20"/>
              </w:rPr>
              <w:t>nomeadamente as formações modernas que acompanham o rio Zêzere;</w:t>
            </w:r>
          </w:p>
          <w:p w:rsidR="00422172" w:rsidRDefault="006B3EA2" w:rsidP="00D6708D">
            <w:pPr>
              <w:pStyle w:val="PargrafodaLista"/>
              <w:numPr>
                <w:ilvl w:val="0"/>
                <w:numId w:val="17"/>
              </w:numPr>
              <w:spacing w:after="0" w:line="240" w:lineRule="auto"/>
              <w:rPr>
                <w:rFonts w:asciiTheme="minorHAnsi" w:hAnsiTheme="minorHAnsi"/>
                <w:color w:val="2E74B5" w:themeColor="accent1" w:themeShade="BF"/>
                <w:sz w:val="20"/>
                <w:szCs w:val="20"/>
              </w:rPr>
            </w:pPr>
            <w:r w:rsidRPr="006B3EA2">
              <w:rPr>
                <w:rFonts w:asciiTheme="minorHAnsi" w:hAnsiTheme="minorHAnsi"/>
                <w:color w:val="2E74B5" w:themeColor="accent1" w:themeShade="BF"/>
                <w:sz w:val="20"/>
                <w:szCs w:val="20"/>
              </w:rPr>
              <w:t>Áreas com declives reduzidos de fundo de vale de terrenos porosos (areias sedimentares, aluviões); ou outras áreas a cotas superiores cuja natureza específica apresente potencial para a produtividade aquífera para montante (cumeadas e cabeceiras aplanadas que favorecem a infiltração e</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 xml:space="preserve">forte recarga para montante da bacia e/ou </w:t>
            </w:r>
            <w:proofErr w:type="spellStart"/>
            <w:r w:rsidRPr="006B3EA2">
              <w:rPr>
                <w:rFonts w:asciiTheme="minorHAnsi" w:hAnsiTheme="minorHAnsi"/>
                <w:color w:val="2E74B5" w:themeColor="accent1" w:themeShade="BF"/>
                <w:sz w:val="20"/>
                <w:szCs w:val="20"/>
              </w:rPr>
              <w:t>sub-bacia</w:t>
            </w:r>
            <w:proofErr w:type="spellEnd"/>
            <w:r w:rsidRPr="006B3EA2">
              <w:rPr>
                <w:rFonts w:asciiTheme="minorHAnsi" w:hAnsiTheme="minorHAnsi"/>
                <w:color w:val="2E74B5" w:themeColor="accent1" w:themeShade="BF"/>
                <w:sz w:val="20"/>
                <w:szCs w:val="20"/>
              </w:rPr>
              <w:t>).</w:t>
            </w:r>
          </w:p>
          <w:p w:rsidR="006B3EA2" w:rsidRPr="006B3EA2" w:rsidRDefault="006B3EA2" w:rsidP="006B3EA2">
            <w:pPr>
              <w:spacing w:after="0" w:line="240" w:lineRule="auto"/>
              <w:rPr>
                <w:rFonts w:asciiTheme="minorHAnsi" w:hAnsiTheme="minorHAnsi"/>
                <w:color w:val="2E74B5" w:themeColor="accent1" w:themeShade="BF"/>
                <w:sz w:val="20"/>
                <w:szCs w:val="20"/>
              </w:rPr>
            </w:pPr>
            <w:r w:rsidRPr="006B3EA2">
              <w:rPr>
                <w:rFonts w:asciiTheme="minorHAnsi" w:hAnsiTheme="minorHAnsi"/>
                <w:color w:val="2E74B5" w:themeColor="accent1" w:themeShade="BF"/>
                <w:sz w:val="20"/>
                <w:szCs w:val="20"/>
              </w:rPr>
              <w:t>Segundo o disposto na Resolução de Conselho de Ministros n.º 81/2012, de 3 de outubro e na Declaração</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de Retificação n.º 71/2012, de 30 de novembro, na ausência de modelos disponíveis sobre hidrodinâmica</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subterrânea com a identificação de áreas de recarga, a delimitação deste tipo de ecossistema é efetuada</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com base no conceito de vulnerabilidade à poluição.</w:t>
            </w:r>
          </w:p>
          <w:p w:rsidR="006B3EA2" w:rsidRPr="006B3EA2" w:rsidRDefault="006B3EA2" w:rsidP="006B3EA2">
            <w:pPr>
              <w:spacing w:after="0" w:line="240" w:lineRule="auto"/>
              <w:rPr>
                <w:rFonts w:asciiTheme="minorHAnsi" w:hAnsiTheme="minorHAnsi"/>
                <w:color w:val="2E74B5" w:themeColor="accent1" w:themeShade="BF"/>
                <w:sz w:val="20"/>
                <w:szCs w:val="20"/>
              </w:rPr>
            </w:pPr>
            <w:r w:rsidRPr="006B3EA2">
              <w:rPr>
                <w:rFonts w:asciiTheme="minorHAnsi" w:hAnsiTheme="minorHAnsi"/>
                <w:color w:val="2E74B5" w:themeColor="accent1" w:themeShade="BF"/>
                <w:sz w:val="20"/>
                <w:szCs w:val="20"/>
              </w:rPr>
              <w:t>A vulnerabilidade é determinada a partir de índices que têm em conta a definição do tipo de aquífero</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(cársico, poroso, fissurado), constantes na secção V, ponto 2 da Declaração de Retificação n.º 71/2012,</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de 30 de novembro.</w:t>
            </w:r>
          </w:p>
          <w:p w:rsidR="006B3EA2" w:rsidRPr="006B3EA2" w:rsidRDefault="006B3EA2" w:rsidP="006B3EA2">
            <w:pPr>
              <w:spacing w:after="0" w:line="240" w:lineRule="auto"/>
              <w:rPr>
                <w:rFonts w:asciiTheme="minorHAnsi" w:hAnsiTheme="minorHAnsi"/>
                <w:color w:val="2E74B5" w:themeColor="accent1" w:themeShade="BF"/>
                <w:sz w:val="20"/>
                <w:szCs w:val="20"/>
              </w:rPr>
            </w:pPr>
            <w:r w:rsidRPr="006B3EA2">
              <w:rPr>
                <w:rFonts w:asciiTheme="minorHAnsi" w:hAnsiTheme="minorHAnsi"/>
                <w:color w:val="2E74B5" w:themeColor="accent1" w:themeShade="BF"/>
                <w:sz w:val="20"/>
                <w:szCs w:val="20"/>
              </w:rPr>
              <w:t xml:space="preserve">Neste ecossistema deverão ser incluídas todas </w:t>
            </w:r>
            <w:r w:rsidRPr="006B3EA2">
              <w:rPr>
                <w:rFonts w:asciiTheme="minorHAnsi" w:hAnsiTheme="minorHAnsi"/>
                <w:color w:val="2E74B5" w:themeColor="accent1" w:themeShade="BF"/>
                <w:sz w:val="20"/>
                <w:szCs w:val="20"/>
              </w:rPr>
              <w:lastRenderedPageBreak/>
              <w:t>as áreas de aluvião, bem como algumas áreas que</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correspondiam, no antigo diploma da REN, às cabeceiras de linhas de água, se correspondentes a</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substratos com percolação potencial em detrimento do escoamento superficial.</w:t>
            </w:r>
          </w:p>
          <w:p w:rsidR="006B3EA2" w:rsidRPr="006B3EA2" w:rsidRDefault="006B3EA2" w:rsidP="006B3EA2">
            <w:pPr>
              <w:spacing w:after="0" w:line="240" w:lineRule="auto"/>
              <w:rPr>
                <w:rFonts w:asciiTheme="minorHAnsi" w:hAnsiTheme="minorHAnsi"/>
                <w:color w:val="2E74B5" w:themeColor="accent1" w:themeShade="BF"/>
                <w:sz w:val="20"/>
                <w:szCs w:val="20"/>
              </w:rPr>
            </w:pPr>
            <w:r w:rsidRPr="006B3EA2">
              <w:rPr>
                <w:rFonts w:asciiTheme="minorHAnsi" w:hAnsiTheme="minorHAnsi"/>
                <w:color w:val="2E74B5" w:themeColor="accent1" w:themeShade="BF"/>
                <w:sz w:val="20"/>
                <w:szCs w:val="20"/>
              </w:rPr>
              <w:t>Na conjugação destes elementos de referência, e no seguimento das diretrizes de delimitação, é utilizado</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o Índice de Suscetibilidade (IS) para o caso dos aquíferos porosos das áreas de aluvião que se associam às</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principais linhas de água; e o método VULFRAC para o caso de sistemas aquíferos fraturados/fissurados e</w:t>
            </w:r>
            <w:r>
              <w:rPr>
                <w:rFonts w:asciiTheme="minorHAnsi" w:hAnsiTheme="minorHAnsi"/>
                <w:color w:val="2E74B5" w:themeColor="accent1" w:themeShade="BF"/>
                <w:sz w:val="20"/>
                <w:szCs w:val="20"/>
              </w:rPr>
              <w:t xml:space="preserve"> </w:t>
            </w:r>
            <w:r w:rsidRPr="006B3EA2">
              <w:rPr>
                <w:rFonts w:asciiTheme="minorHAnsi" w:hAnsiTheme="minorHAnsi"/>
                <w:color w:val="2E74B5" w:themeColor="accent1" w:themeShade="BF"/>
                <w:sz w:val="20"/>
                <w:szCs w:val="20"/>
              </w:rPr>
              <w:t xml:space="preserve">de elevada permeabilidade em que assentam os granitos </w:t>
            </w:r>
            <w:proofErr w:type="spellStart"/>
            <w:r w:rsidRPr="006B3EA2">
              <w:rPr>
                <w:rFonts w:asciiTheme="minorHAnsi" w:hAnsiTheme="minorHAnsi"/>
                <w:color w:val="2E74B5" w:themeColor="accent1" w:themeShade="BF"/>
                <w:sz w:val="20"/>
                <w:szCs w:val="20"/>
              </w:rPr>
              <w:t>porfiróides</w:t>
            </w:r>
            <w:proofErr w:type="spellEnd"/>
            <w:r w:rsidRPr="006B3EA2">
              <w:rPr>
                <w:rFonts w:asciiTheme="minorHAnsi" w:hAnsiTheme="minorHAnsi"/>
                <w:color w:val="2E74B5" w:themeColor="accent1" w:themeShade="BF"/>
                <w:sz w:val="20"/>
                <w:szCs w:val="20"/>
              </w:rPr>
              <w:t xml:space="preserve">, </w:t>
            </w:r>
            <w:proofErr w:type="spellStart"/>
            <w:r w:rsidRPr="006B3EA2">
              <w:rPr>
                <w:rFonts w:asciiTheme="minorHAnsi" w:hAnsiTheme="minorHAnsi"/>
                <w:color w:val="2E74B5" w:themeColor="accent1" w:themeShade="BF"/>
                <w:sz w:val="20"/>
                <w:szCs w:val="20"/>
              </w:rPr>
              <w:t>gnáissicos</w:t>
            </w:r>
            <w:proofErr w:type="spellEnd"/>
            <w:r w:rsidRPr="006B3EA2">
              <w:rPr>
                <w:rFonts w:asciiTheme="minorHAnsi" w:hAnsiTheme="minorHAnsi"/>
                <w:color w:val="2E74B5" w:themeColor="accent1" w:themeShade="BF"/>
                <w:sz w:val="20"/>
                <w:szCs w:val="20"/>
              </w:rPr>
              <w:t xml:space="preserve"> (Formação de Almaceda),</w:t>
            </w:r>
          </w:p>
          <w:p w:rsidR="006B3EA2" w:rsidRPr="00D6708D" w:rsidRDefault="006B3EA2">
            <w:pPr>
              <w:spacing w:after="0" w:line="240" w:lineRule="auto"/>
              <w:rPr>
                <w:rFonts w:asciiTheme="minorHAnsi" w:hAnsiTheme="minorHAnsi"/>
                <w:color w:val="2E74B5" w:themeColor="accent1" w:themeShade="BF"/>
                <w:sz w:val="20"/>
                <w:szCs w:val="20"/>
              </w:rPr>
            </w:pPr>
            <w:r w:rsidRPr="006B3EA2">
              <w:rPr>
                <w:rFonts w:asciiTheme="minorHAnsi" w:hAnsiTheme="minorHAnsi"/>
                <w:color w:val="2E74B5" w:themeColor="accent1" w:themeShade="BF"/>
                <w:sz w:val="20"/>
                <w:szCs w:val="20"/>
              </w:rPr>
              <w:t>os xistos, grauvaques e quartzitos (Formação da Beiras), segundo os pressupostos que a seguir se</w:t>
            </w:r>
            <w:r w:rsidR="00CB7440">
              <w:rPr>
                <w:rFonts w:asciiTheme="minorHAnsi" w:hAnsiTheme="minorHAnsi"/>
                <w:color w:val="2E74B5" w:themeColor="accent1" w:themeShade="BF"/>
                <w:sz w:val="20"/>
                <w:szCs w:val="20"/>
              </w:rPr>
              <w:t xml:space="preserve"> </w:t>
            </w:r>
            <w:r>
              <w:rPr>
                <w:rFonts w:asciiTheme="minorHAnsi" w:hAnsiTheme="minorHAnsi"/>
                <w:color w:val="2E74B5" w:themeColor="accent1" w:themeShade="BF"/>
                <w:sz w:val="20"/>
                <w:szCs w:val="20"/>
              </w:rPr>
              <w:t>apresentam.</w:t>
            </w:r>
          </w:p>
        </w:tc>
        <w:tc>
          <w:tcPr>
            <w:tcW w:w="4110" w:type="dxa"/>
          </w:tcPr>
          <w:p w:rsidR="00422172" w:rsidRPr="00A43990" w:rsidRDefault="00422172" w:rsidP="00422172">
            <w:pPr>
              <w:spacing w:after="0" w:line="240" w:lineRule="auto"/>
              <w:rPr>
                <w:rFonts w:asciiTheme="minorHAnsi" w:hAnsiTheme="minorHAnsi"/>
                <w:color w:val="833C0B" w:themeColor="accent2" w:themeShade="80"/>
                <w:sz w:val="20"/>
                <w:szCs w:val="20"/>
              </w:rPr>
            </w:pPr>
            <w:r w:rsidRPr="00A43990">
              <w:rPr>
                <w:rFonts w:asciiTheme="minorHAnsi" w:hAnsiTheme="minorHAnsi"/>
                <w:i/>
                <w:color w:val="833C0B" w:themeColor="accent2" w:themeShade="80"/>
                <w:sz w:val="20"/>
                <w:szCs w:val="20"/>
              </w:rPr>
              <w:lastRenderedPageBreak/>
              <w:t>Guia metodológico para delimitação da Reserva Ecológica Nacional em Lisboa e Vale do Tejo – páginas 86 a 97</w:t>
            </w:r>
            <w:r w:rsidR="00F93A13" w:rsidRPr="00A43990">
              <w:rPr>
                <w:rFonts w:asciiTheme="minorHAnsi" w:hAnsiTheme="minorHAnsi"/>
                <w:color w:val="833C0B" w:themeColor="accent2" w:themeShade="80"/>
                <w:sz w:val="20"/>
                <w:szCs w:val="20"/>
              </w:rPr>
              <w:t>.</w:t>
            </w:r>
          </w:p>
          <w:p w:rsidR="00786483" w:rsidRPr="00A43990" w:rsidRDefault="00786483" w:rsidP="00422172">
            <w:pPr>
              <w:spacing w:after="0" w:line="240" w:lineRule="auto"/>
              <w:rPr>
                <w:rFonts w:asciiTheme="minorHAnsi" w:hAnsiTheme="minorHAnsi"/>
                <w:color w:val="833C0B" w:themeColor="accent2" w:themeShade="80"/>
                <w:sz w:val="20"/>
                <w:szCs w:val="20"/>
              </w:rPr>
            </w:pPr>
          </w:p>
          <w:p w:rsidR="00DA213F" w:rsidRPr="00A43990" w:rsidRDefault="00DA213F" w:rsidP="00DA213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delimitação não incide sobre as águas hidrominerais.</w:t>
            </w:r>
          </w:p>
          <w:p w:rsidR="00DA213F" w:rsidRPr="00A43990" w:rsidRDefault="00DA213F" w:rsidP="00DA213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Os modelos numéricos do escoamento subterrâneo são a única ferramenta eficaz para definir as áreas de recarga e descarga dos aquíferos. No contexto atual a maioria dos sistemas aquíferos não dispõe de modelos numéricos de escoamento calibrados e em muitos não é conhecido, em rigor, o seu modelo conceptual de dinâmica.</w:t>
            </w:r>
          </w:p>
          <w:p w:rsidR="00DA213F" w:rsidRPr="00A43990" w:rsidRDefault="00DA213F" w:rsidP="00DA213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Na delimitação das áreas estratégicas de proteção e recarga de aquíferos são obrigatoriamente consideradas as áreas preferenciais de recarga (recarga localizada) delimitadas em resultado destes modelos da hidrodinâmica subterrânea.</w:t>
            </w:r>
          </w:p>
          <w:p w:rsidR="00DA213F" w:rsidRPr="00A43990" w:rsidRDefault="00DA213F" w:rsidP="00DA213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Enquanto não estiverem disponíveis resultados destes modelos, consideram-se, provisoriamente e em sua substituição, as áreas mais vulneráveis à poluição, a partir de índices que têm em conta a definição do tipo de aquífero, por recurso a métodos específicos, adaptados a sistemas aquíferos cársicos, porosos e fissurados.</w:t>
            </w:r>
          </w:p>
          <w:p w:rsidR="00CB7440" w:rsidRPr="00A43990" w:rsidRDefault="00CB7440" w:rsidP="00DA213F">
            <w:pPr>
              <w:spacing w:after="0" w:line="240" w:lineRule="auto"/>
              <w:rPr>
                <w:rFonts w:asciiTheme="minorHAnsi" w:hAnsiTheme="minorHAnsi"/>
                <w:color w:val="833C0B" w:themeColor="accent2" w:themeShade="80"/>
                <w:sz w:val="20"/>
                <w:szCs w:val="20"/>
              </w:rPr>
            </w:pPr>
          </w:p>
          <w:p w:rsidR="00DA213F" w:rsidRPr="00A43990" w:rsidRDefault="00DA213F" w:rsidP="00DA213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delimitação das áreas estratégicas de proteção e recarga de aquíferos pode ainda ser delimitada com base no Í</w:t>
            </w:r>
            <w:r w:rsidRPr="00A43990">
              <w:rPr>
                <w:rFonts w:asciiTheme="minorHAnsi" w:hAnsiTheme="minorHAnsi"/>
                <w:b/>
                <w:color w:val="833C0B" w:themeColor="accent2" w:themeShade="80"/>
                <w:sz w:val="20"/>
                <w:szCs w:val="20"/>
              </w:rPr>
              <w:t>ndice de Recarga Efetiva,</w:t>
            </w:r>
            <w:r w:rsidRPr="00A43990">
              <w:rPr>
                <w:rFonts w:asciiTheme="minorHAnsi" w:hAnsiTheme="minorHAnsi"/>
                <w:color w:val="833C0B" w:themeColor="accent2" w:themeShade="80"/>
                <w:sz w:val="20"/>
                <w:szCs w:val="20"/>
              </w:rPr>
              <w:t xml:space="preserve"> método previsto nos Planos de Gestão de Região Hidrográfica.</w:t>
            </w:r>
          </w:p>
          <w:p w:rsidR="00DA213F" w:rsidRPr="00A43990" w:rsidRDefault="00DA213F" w:rsidP="00DA213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adoção da metodologia que melhor se adapta ao caso em estudo deve ser previamente acertada com a entidade competente (APA).</w:t>
            </w:r>
          </w:p>
          <w:p w:rsidR="00DA213F" w:rsidRDefault="00DA213F" w:rsidP="00DA213F">
            <w:pPr>
              <w:spacing w:after="0" w:line="240" w:lineRule="auto"/>
              <w:rPr>
                <w:rFonts w:asciiTheme="minorHAnsi" w:hAnsiTheme="minorHAnsi"/>
                <w:color w:val="833C0B" w:themeColor="accent2" w:themeShade="80"/>
                <w:sz w:val="20"/>
                <w:szCs w:val="20"/>
              </w:rPr>
            </w:pPr>
          </w:p>
          <w:p w:rsidR="00A43990" w:rsidRPr="00A43990" w:rsidRDefault="00A43990" w:rsidP="00A43990">
            <w:pPr>
              <w:spacing w:after="0" w:line="240" w:lineRule="auto"/>
              <w:rPr>
                <w:rFonts w:asciiTheme="minorHAnsi" w:hAnsiTheme="minorHAnsi"/>
                <w:b/>
                <w:color w:val="833C0B" w:themeColor="accent2" w:themeShade="80"/>
                <w:sz w:val="20"/>
                <w:szCs w:val="20"/>
              </w:rPr>
            </w:pPr>
            <w:r w:rsidRPr="00A43990">
              <w:rPr>
                <w:rFonts w:asciiTheme="minorHAnsi" w:hAnsiTheme="minorHAnsi"/>
                <w:b/>
                <w:color w:val="833C0B" w:themeColor="accent2" w:themeShade="80"/>
                <w:sz w:val="20"/>
                <w:szCs w:val="20"/>
              </w:rPr>
              <w:t>Índice de recarga efetiva (</w:t>
            </w:r>
            <w:proofErr w:type="spellStart"/>
            <w:r w:rsidRPr="00A43990">
              <w:rPr>
                <w:rFonts w:asciiTheme="minorHAnsi" w:hAnsiTheme="minorHAnsi"/>
                <w:b/>
                <w:color w:val="833C0B" w:themeColor="accent2" w:themeShade="80"/>
                <w:sz w:val="20"/>
                <w:szCs w:val="20"/>
              </w:rPr>
              <w:t>IRef</w:t>
            </w:r>
            <w:proofErr w:type="spellEnd"/>
            <w:r w:rsidRPr="00A43990">
              <w:rPr>
                <w:rFonts w:asciiTheme="minorHAnsi" w:hAnsiTheme="minorHAnsi"/>
                <w:b/>
                <w:color w:val="833C0B" w:themeColor="accent2" w:themeShade="80"/>
                <w:sz w:val="20"/>
                <w:szCs w:val="20"/>
              </w:rPr>
              <w:t>)</w:t>
            </w:r>
          </w:p>
          <w:p w:rsidR="00A43990" w:rsidRPr="00A43990" w:rsidRDefault="00A43990" w:rsidP="00A43990">
            <w:pPr>
              <w:spacing w:after="0" w:line="240" w:lineRule="auto"/>
              <w:rPr>
                <w:rFonts w:asciiTheme="minorHAnsi" w:hAnsiTheme="minorHAnsi"/>
                <w:color w:val="833C0B" w:themeColor="accent2" w:themeShade="80"/>
                <w:sz w:val="20"/>
                <w:szCs w:val="20"/>
              </w:rPr>
            </w:pPr>
            <w:r>
              <w:rPr>
                <w:rFonts w:asciiTheme="minorHAnsi" w:hAnsiTheme="minorHAnsi"/>
                <w:color w:val="833C0B" w:themeColor="accent2" w:themeShade="80"/>
                <w:sz w:val="20"/>
                <w:szCs w:val="20"/>
              </w:rPr>
              <w:lastRenderedPageBreak/>
              <w:t>O Índice de Recarga Efetiva (</w:t>
            </w:r>
            <w:proofErr w:type="spellStart"/>
            <w:r w:rsidRPr="00A43990">
              <w:rPr>
                <w:rFonts w:asciiTheme="minorHAnsi" w:hAnsiTheme="minorHAnsi"/>
                <w:i/>
                <w:color w:val="833C0B" w:themeColor="accent2" w:themeShade="80"/>
                <w:sz w:val="20"/>
                <w:szCs w:val="20"/>
              </w:rPr>
              <w:t>Ip</w:t>
            </w:r>
            <w:proofErr w:type="spellEnd"/>
            <w:r w:rsidRPr="00A43990">
              <w:rPr>
                <w:rFonts w:asciiTheme="minorHAnsi" w:hAnsiTheme="minorHAnsi"/>
                <w:color w:val="833C0B" w:themeColor="accent2" w:themeShade="80"/>
                <w:sz w:val="20"/>
                <w:szCs w:val="20"/>
              </w:rPr>
              <w:t>) corresponde à média ponderada dos parâmetros:</w:t>
            </w:r>
          </w:p>
          <w:p w:rsidR="00A43990" w:rsidRDefault="008B5227" w:rsidP="00A43990">
            <w:pPr>
              <w:pStyle w:val="PargrafodaLista"/>
              <w:numPr>
                <w:ilvl w:val="0"/>
                <w:numId w:val="17"/>
              </w:numPr>
              <w:spacing w:after="0" w:line="240" w:lineRule="auto"/>
              <w:rPr>
                <w:rFonts w:asciiTheme="minorHAnsi" w:hAnsiTheme="minorHAnsi"/>
                <w:color w:val="833C0B" w:themeColor="accent2" w:themeShade="80"/>
                <w:sz w:val="20"/>
                <w:szCs w:val="20"/>
              </w:rPr>
            </w:pPr>
            <w:r>
              <w:rPr>
                <w:rFonts w:asciiTheme="minorHAnsi" w:hAnsiTheme="minorHAnsi"/>
                <w:color w:val="833C0B" w:themeColor="accent2" w:themeShade="80"/>
                <w:sz w:val="20"/>
                <w:szCs w:val="20"/>
              </w:rPr>
              <w:t>Recarga Potencial (</w:t>
            </w:r>
            <w:proofErr w:type="spellStart"/>
            <w:r w:rsidRPr="008B5227">
              <w:rPr>
                <w:rFonts w:asciiTheme="minorHAnsi" w:hAnsiTheme="minorHAnsi"/>
                <w:i/>
                <w:color w:val="833C0B" w:themeColor="accent2" w:themeShade="80"/>
                <w:sz w:val="20"/>
                <w:szCs w:val="20"/>
              </w:rPr>
              <w:t>Ip</w:t>
            </w:r>
            <w:proofErr w:type="spellEnd"/>
            <w:r w:rsidR="00A43990" w:rsidRPr="00A43990">
              <w:rPr>
                <w:rFonts w:asciiTheme="minorHAnsi" w:hAnsiTheme="minorHAnsi"/>
                <w:color w:val="833C0B" w:themeColor="accent2" w:themeShade="80"/>
                <w:sz w:val="20"/>
                <w:szCs w:val="20"/>
              </w:rPr>
              <w:t>) - calculada a nível do solo, utilizada na determinação do índice de vulnerabilidade à poluição, e de que se dispõe de cartografia dos valores calculados por balanço sequencial diário (tabela seguinte). A cartografia disponível considera os valores deste parâmetro utilizados no cálculo do valor DRASTIC.</w:t>
            </w:r>
          </w:p>
          <w:p w:rsidR="00A43990" w:rsidRPr="00A43990" w:rsidRDefault="00A43990" w:rsidP="00A43990">
            <w:pPr>
              <w:spacing w:after="0" w:line="240" w:lineRule="auto"/>
              <w:rPr>
                <w:rFonts w:asciiTheme="minorHAnsi" w:hAnsiTheme="minorHAnsi"/>
                <w:color w:val="833C0B" w:themeColor="accent2" w:themeShade="80"/>
                <w:sz w:val="20"/>
                <w:szCs w:val="20"/>
              </w:rPr>
            </w:pPr>
            <w:r>
              <w:rPr>
                <w:noProof/>
                <w:lang w:eastAsia="pt-PT"/>
              </w:rPr>
              <w:drawing>
                <wp:inline distT="0" distB="0" distL="0" distR="0">
                  <wp:extent cx="2472690" cy="319405"/>
                  <wp:effectExtent l="0" t="0" r="381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472690" cy="319405"/>
                          </a:xfrm>
                          <a:prstGeom prst="rect">
                            <a:avLst/>
                          </a:prstGeom>
                        </pic:spPr>
                      </pic:pic>
                    </a:graphicData>
                  </a:graphic>
                </wp:inline>
              </w:drawing>
            </w:r>
          </w:p>
          <w:p w:rsidR="00A43990" w:rsidRPr="00A43990" w:rsidRDefault="00A43990" w:rsidP="00A43990">
            <w:pPr>
              <w:pStyle w:val="PargrafodaLista"/>
              <w:numPr>
                <w:ilvl w:val="0"/>
                <w:numId w:val="17"/>
              </w:num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Declive da superfície topográfica (</w:t>
            </w:r>
            <w:r w:rsidRPr="00A43990">
              <w:rPr>
                <w:rFonts w:asciiTheme="minorHAnsi" w:hAnsiTheme="minorHAnsi"/>
                <w:i/>
                <w:color w:val="833C0B" w:themeColor="accent2" w:themeShade="80"/>
                <w:sz w:val="20"/>
                <w:szCs w:val="20"/>
              </w:rPr>
              <w:t>D</w:t>
            </w:r>
            <w:r w:rsidRPr="00A43990">
              <w:rPr>
                <w:rFonts w:asciiTheme="minorHAnsi" w:hAnsiTheme="minorHAnsi"/>
                <w:color w:val="833C0B" w:themeColor="accent2" w:themeShade="80"/>
                <w:sz w:val="20"/>
                <w:szCs w:val="20"/>
              </w:rPr>
              <w:t xml:space="preserve">) - o declive da superfície topográfica intervém na medida que promove o escoamento lateral (hipodérmico ou </w:t>
            </w:r>
            <w:proofErr w:type="spellStart"/>
            <w:r w:rsidRPr="00A43990">
              <w:rPr>
                <w:rFonts w:asciiTheme="minorHAnsi" w:hAnsiTheme="minorHAnsi"/>
                <w:color w:val="833C0B" w:themeColor="accent2" w:themeShade="80"/>
                <w:sz w:val="20"/>
                <w:szCs w:val="20"/>
              </w:rPr>
              <w:t>subsuperficial</w:t>
            </w:r>
            <w:proofErr w:type="spellEnd"/>
            <w:r w:rsidRPr="00A43990">
              <w:rPr>
                <w:rFonts w:asciiTheme="minorHAnsi" w:hAnsiTheme="minorHAnsi"/>
                <w:color w:val="833C0B" w:themeColor="accent2" w:themeShade="80"/>
                <w:sz w:val="20"/>
                <w:szCs w:val="20"/>
              </w:rPr>
              <w:t xml:space="preserve">) ao nível do contacto do solo ou do rególito com a rocha subjacente. Aos declives maiores correspondem geralmente vales mais profundos e intersecção da superfície topográfica com maior espessura da zona vadosa, a que corresponde maior probabilidade de drenar aquíferos suspensos e, em geral, escoamentos </w:t>
            </w:r>
            <w:proofErr w:type="spellStart"/>
            <w:r w:rsidRPr="00A43990">
              <w:rPr>
                <w:rFonts w:asciiTheme="minorHAnsi" w:hAnsiTheme="minorHAnsi"/>
                <w:color w:val="833C0B" w:themeColor="accent2" w:themeShade="80"/>
                <w:sz w:val="20"/>
                <w:szCs w:val="20"/>
              </w:rPr>
              <w:t>subsuperficiais</w:t>
            </w:r>
            <w:proofErr w:type="spellEnd"/>
            <w:r w:rsidRPr="00A43990">
              <w:rPr>
                <w:rFonts w:asciiTheme="minorHAnsi" w:hAnsiTheme="minorHAnsi"/>
                <w:color w:val="833C0B" w:themeColor="accent2" w:themeShade="80"/>
                <w:sz w:val="20"/>
                <w:szCs w:val="20"/>
              </w:rPr>
              <w:t>. Considerar-se-ão também os índices utilizados na metodologia DRASTIC, constantes da tabela seguinte.</w:t>
            </w:r>
          </w:p>
          <w:p w:rsidR="00DA213F" w:rsidRDefault="00A43990" w:rsidP="00DA213F">
            <w:pPr>
              <w:spacing w:after="0" w:line="240" w:lineRule="auto"/>
              <w:rPr>
                <w:rFonts w:asciiTheme="minorHAnsi" w:hAnsiTheme="minorHAnsi"/>
                <w:color w:val="833C0B" w:themeColor="accent2" w:themeShade="80"/>
                <w:sz w:val="20"/>
                <w:szCs w:val="20"/>
              </w:rPr>
            </w:pPr>
            <w:r>
              <w:rPr>
                <w:noProof/>
                <w:lang w:eastAsia="pt-PT"/>
              </w:rPr>
              <w:drawing>
                <wp:inline distT="0" distB="0" distL="0" distR="0">
                  <wp:extent cx="2472690" cy="243205"/>
                  <wp:effectExtent l="0" t="0" r="381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472690" cy="243205"/>
                          </a:xfrm>
                          <a:prstGeom prst="rect">
                            <a:avLst/>
                          </a:prstGeom>
                        </pic:spPr>
                      </pic:pic>
                    </a:graphicData>
                  </a:graphic>
                </wp:inline>
              </w:drawing>
            </w:r>
          </w:p>
          <w:p w:rsidR="00A43990" w:rsidRPr="00A43990" w:rsidRDefault="00A43990" w:rsidP="00A43990">
            <w:pPr>
              <w:pStyle w:val="PargrafodaLista"/>
              <w:numPr>
                <w:ilvl w:val="0"/>
                <w:numId w:val="17"/>
              </w:num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Litolog</w:t>
            </w:r>
            <w:r>
              <w:rPr>
                <w:rFonts w:asciiTheme="minorHAnsi" w:hAnsiTheme="minorHAnsi"/>
                <w:color w:val="833C0B" w:themeColor="accent2" w:themeShade="80"/>
                <w:sz w:val="20"/>
                <w:szCs w:val="20"/>
              </w:rPr>
              <w:t>ia e estrutura da zona vadosa (</w:t>
            </w:r>
            <w:r w:rsidRPr="00A43990">
              <w:rPr>
                <w:rFonts w:asciiTheme="minorHAnsi" w:hAnsiTheme="minorHAnsi"/>
                <w:i/>
                <w:color w:val="833C0B" w:themeColor="accent2" w:themeShade="80"/>
                <w:sz w:val="20"/>
                <w:szCs w:val="20"/>
              </w:rPr>
              <w:t>ZV</w:t>
            </w:r>
            <w:r>
              <w:rPr>
                <w:rFonts w:asciiTheme="minorHAnsi" w:hAnsiTheme="minorHAnsi"/>
                <w:color w:val="833C0B" w:themeColor="accent2" w:themeShade="80"/>
                <w:sz w:val="20"/>
                <w:szCs w:val="20"/>
              </w:rPr>
              <w:t>)</w:t>
            </w:r>
            <w:r w:rsidRPr="00A43990">
              <w:rPr>
                <w:rFonts w:asciiTheme="minorHAnsi" w:hAnsiTheme="minorHAnsi"/>
                <w:color w:val="833C0B" w:themeColor="accent2" w:themeShade="80"/>
                <w:sz w:val="20"/>
                <w:szCs w:val="20"/>
              </w:rPr>
              <w:t xml:space="preserve"> - o fator mais importante que condiciona a recarga efetiva e a diferenciação com o conceito de recarga potencial. Este parâmetro tomará valores de 1 a 10 e reflete a natureza e a permeabilidade vertical da zona vadosa nas formações hidrogeológicas da AML </w:t>
            </w:r>
            <w:r w:rsidR="008B5227">
              <w:rPr>
                <w:rFonts w:asciiTheme="minorHAnsi" w:hAnsiTheme="minorHAnsi"/>
                <w:color w:val="833C0B" w:themeColor="accent2" w:themeShade="80"/>
                <w:sz w:val="20"/>
                <w:szCs w:val="20"/>
              </w:rPr>
              <w:t>e do OVT</w:t>
            </w:r>
            <w:r w:rsidRPr="00A43990">
              <w:rPr>
                <w:rFonts w:asciiTheme="minorHAnsi" w:hAnsiTheme="minorHAnsi"/>
                <w:color w:val="833C0B" w:themeColor="accent2" w:themeShade="80"/>
                <w:sz w:val="20"/>
                <w:szCs w:val="20"/>
              </w:rPr>
              <w:t>. É um índice que, tal como em todas as metodologias paramétricas, tem um carácter subjetivo baseado na experiência adquirida. Indica-se o valor utilizado e entre parêntesis o intervalo de variação.</w:t>
            </w:r>
          </w:p>
          <w:p w:rsidR="00A43990" w:rsidRPr="00A43990" w:rsidRDefault="00A43990" w:rsidP="00A43990">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Quando a zona vadosa é areia ou calcário </w:t>
            </w:r>
            <w:proofErr w:type="spellStart"/>
            <w:r w:rsidRPr="00A43990">
              <w:rPr>
                <w:rFonts w:asciiTheme="minorHAnsi" w:hAnsiTheme="minorHAnsi"/>
                <w:color w:val="833C0B" w:themeColor="accent2" w:themeShade="80"/>
                <w:sz w:val="20"/>
                <w:szCs w:val="20"/>
              </w:rPr>
              <w:t>muitocarsificado</w:t>
            </w:r>
            <w:proofErr w:type="spellEnd"/>
            <w:r w:rsidRPr="00A43990">
              <w:rPr>
                <w:rFonts w:asciiTheme="minorHAnsi" w:hAnsiTheme="minorHAnsi"/>
                <w:color w:val="833C0B" w:themeColor="accent2" w:themeShade="80"/>
                <w:sz w:val="20"/>
                <w:szCs w:val="20"/>
              </w:rPr>
              <w:t xml:space="preserve"> o valor da recarga efetiva é igual ao da recarga potencial </w:t>
            </w:r>
            <w:r>
              <w:rPr>
                <w:rFonts w:asciiTheme="minorHAnsi" w:hAnsiTheme="minorHAnsi"/>
                <w:color w:val="833C0B" w:themeColor="accent2" w:themeShade="80"/>
                <w:sz w:val="20"/>
                <w:szCs w:val="20"/>
              </w:rPr>
              <w:t>(</w:t>
            </w:r>
            <w:proofErr w:type="spellStart"/>
            <w:r>
              <w:rPr>
                <w:rFonts w:asciiTheme="minorHAnsi" w:hAnsiTheme="minorHAnsi"/>
                <w:i/>
                <w:color w:val="833C0B" w:themeColor="accent2" w:themeShade="80"/>
                <w:sz w:val="20"/>
                <w:szCs w:val="20"/>
              </w:rPr>
              <w:t>Ip</w:t>
            </w:r>
            <w:proofErr w:type="spellEnd"/>
            <w:r w:rsidRPr="00A43990">
              <w:rPr>
                <w:rFonts w:asciiTheme="minorHAnsi" w:hAnsiTheme="minorHAnsi"/>
                <w:color w:val="833C0B" w:themeColor="accent2" w:themeShade="80"/>
                <w:sz w:val="20"/>
                <w:szCs w:val="20"/>
              </w:rPr>
              <w:t>) e o índice toma o valor 10.</w:t>
            </w:r>
          </w:p>
          <w:p w:rsidR="00A43990" w:rsidRPr="00A43990" w:rsidRDefault="00A43990" w:rsidP="00A43990">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Para zonas vadosas de muito baixa permeabilidade, como lodos e argilas, toma o valor 1.</w:t>
            </w:r>
          </w:p>
          <w:p w:rsidR="00A43990" w:rsidRPr="00A43990" w:rsidRDefault="00A43990" w:rsidP="00A43990">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 xml:space="preserve">Outra situação limite que toma o valor 1 é quando a superfície freática no aquífero principal tem a mesma cota que a superfície da </w:t>
            </w:r>
            <w:r w:rsidRPr="00A43990">
              <w:rPr>
                <w:rFonts w:asciiTheme="minorHAnsi" w:hAnsiTheme="minorHAnsi"/>
                <w:color w:val="833C0B" w:themeColor="accent2" w:themeShade="80"/>
                <w:sz w:val="20"/>
                <w:szCs w:val="20"/>
              </w:rPr>
              <w:lastRenderedPageBreak/>
              <w:t>água no solo.</w:t>
            </w:r>
          </w:p>
          <w:p w:rsidR="00A43990" w:rsidRPr="00A43990" w:rsidRDefault="00A43990" w:rsidP="00A43990">
            <w:pPr>
              <w:spacing w:after="0" w:line="240" w:lineRule="auto"/>
              <w:rPr>
                <w:rFonts w:asciiTheme="minorHAnsi" w:hAnsiTheme="minorHAnsi"/>
                <w:color w:val="833C0B" w:themeColor="accent2" w:themeShade="80"/>
                <w:sz w:val="20"/>
                <w:szCs w:val="20"/>
              </w:rPr>
            </w:pPr>
            <w:r>
              <w:rPr>
                <w:rFonts w:asciiTheme="minorHAnsi" w:hAnsiTheme="minorHAnsi"/>
                <w:color w:val="833C0B" w:themeColor="accent2" w:themeShade="80"/>
                <w:sz w:val="20"/>
                <w:szCs w:val="20"/>
              </w:rPr>
              <w:t>O índice de recarga efetiva (</w:t>
            </w:r>
            <w:proofErr w:type="spellStart"/>
            <w:r w:rsidR="008B5227">
              <w:rPr>
                <w:rFonts w:asciiTheme="minorHAnsi" w:hAnsiTheme="minorHAnsi"/>
                <w:i/>
                <w:color w:val="833C0B" w:themeColor="accent2" w:themeShade="80"/>
                <w:sz w:val="20"/>
                <w:szCs w:val="20"/>
              </w:rPr>
              <w:t>IRe</w:t>
            </w:r>
            <w:r w:rsidRPr="00A43990">
              <w:rPr>
                <w:rFonts w:asciiTheme="minorHAnsi" w:hAnsiTheme="minorHAnsi"/>
                <w:i/>
                <w:color w:val="833C0B" w:themeColor="accent2" w:themeShade="80"/>
                <w:sz w:val="20"/>
                <w:szCs w:val="20"/>
              </w:rPr>
              <w:t>f</w:t>
            </w:r>
            <w:proofErr w:type="spellEnd"/>
            <w:r w:rsidRPr="00A43990">
              <w:rPr>
                <w:rFonts w:asciiTheme="minorHAnsi" w:hAnsiTheme="minorHAnsi"/>
                <w:color w:val="833C0B" w:themeColor="accent2" w:themeShade="80"/>
                <w:sz w:val="20"/>
                <w:szCs w:val="20"/>
              </w:rPr>
              <w:t>) toma o valor mínimo de 1 e o valor máximo de 9,8 e é calculado através da seguinte expressão,</w:t>
            </w:r>
          </w:p>
          <w:p w:rsidR="00A43990" w:rsidRDefault="00A43990" w:rsidP="00A43990">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em que:</w:t>
            </w:r>
          </w:p>
          <w:p w:rsidR="00A43990" w:rsidRPr="00A43990" w:rsidRDefault="00A43990" w:rsidP="008B5227">
            <w:pPr>
              <w:spacing w:after="0" w:line="240" w:lineRule="auto"/>
              <w:jc w:val="center"/>
              <w:rPr>
                <w:rFonts w:asciiTheme="minorHAnsi" w:hAnsiTheme="minorHAnsi"/>
                <w:color w:val="833C0B" w:themeColor="accent2" w:themeShade="80"/>
                <w:sz w:val="20"/>
                <w:szCs w:val="20"/>
              </w:rPr>
            </w:pPr>
            <w:r>
              <w:rPr>
                <w:noProof/>
                <w:lang w:eastAsia="pt-PT"/>
              </w:rPr>
              <w:drawing>
                <wp:inline distT="0" distB="0" distL="0" distR="0">
                  <wp:extent cx="2174400" cy="201600"/>
                  <wp:effectExtent l="0" t="0" r="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174400" cy="201600"/>
                          </a:xfrm>
                          <a:prstGeom prst="rect">
                            <a:avLst/>
                          </a:prstGeom>
                        </pic:spPr>
                      </pic:pic>
                    </a:graphicData>
                  </a:graphic>
                </wp:inline>
              </w:drawing>
            </w:r>
          </w:p>
          <w:p w:rsidR="00A43990" w:rsidRPr="00A43990" w:rsidRDefault="00A43990" w:rsidP="00A43990">
            <w:pPr>
              <w:spacing w:after="0" w:line="240" w:lineRule="auto"/>
              <w:rPr>
                <w:rFonts w:asciiTheme="minorHAnsi" w:hAnsiTheme="minorHAnsi"/>
                <w:color w:val="833C0B" w:themeColor="accent2" w:themeShade="80"/>
                <w:sz w:val="20"/>
                <w:szCs w:val="20"/>
              </w:rPr>
            </w:pPr>
            <w:proofErr w:type="spellStart"/>
            <w:r w:rsidRPr="00A43990">
              <w:rPr>
                <w:rFonts w:asciiTheme="minorHAnsi" w:hAnsiTheme="minorHAnsi"/>
                <w:i/>
                <w:color w:val="833C0B" w:themeColor="accent2" w:themeShade="80"/>
                <w:sz w:val="20"/>
                <w:szCs w:val="20"/>
              </w:rPr>
              <w:t>I</w:t>
            </w:r>
            <w:r>
              <w:rPr>
                <w:rFonts w:asciiTheme="minorHAnsi" w:hAnsiTheme="minorHAnsi"/>
                <w:i/>
                <w:color w:val="833C0B" w:themeColor="accent2" w:themeShade="80"/>
                <w:sz w:val="20"/>
                <w:szCs w:val="20"/>
              </w:rPr>
              <w:t>p</w:t>
            </w:r>
            <w:proofErr w:type="spellEnd"/>
            <w:r>
              <w:rPr>
                <w:rFonts w:asciiTheme="minorHAnsi" w:hAnsiTheme="minorHAnsi"/>
                <w:color w:val="833C0B" w:themeColor="accent2" w:themeShade="80"/>
                <w:sz w:val="20"/>
                <w:szCs w:val="20"/>
              </w:rPr>
              <w:t xml:space="preserve"> </w:t>
            </w:r>
            <w:r w:rsidRPr="00A43990">
              <w:rPr>
                <w:rFonts w:asciiTheme="minorHAnsi" w:hAnsiTheme="minorHAnsi"/>
                <w:color w:val="833C0B" w:themeColor="accent2" w:themeShade="80"/>
                <w:sz w:val="20"/>
                <w:szCs w:val="20"/>
              </w:rPr>
              <w:t>representa a recarga potencial (parâmetro do índice DRASTIC tal como foi calculado para as bacias hidrográficas do Tejo, das ribeiras do Oeste e do Sado);</w:t>
            </w:r>
          </w:p>
          <w:p w:rsidR="00A43990" w:rsidRPr="00A43990" w:rsidRDefault="00A43990" w:rsidP="00A43990">
            <w:pPr>
              <w:spacing w:after="0" w:line="240" w:lineRule="auto"/>
              <w:rPr>
                <w:rFonts w:asciiTheme="minorHAnsi" w:hAnsiTheme="minorHAnsi"/>
                <w:color w:val="833C0B" w:themeColor="accent2" w:themeShade="80"/>
                <w:sz w:val="20"/>
                <w:szCs w:val="20"/>
              </w:rPr>
            </w:pPr>
            <w:r w:rsidRPr="00A43990">
              <w:rPr>
                <w:rFonts w:asciiTheme="minorHAnsi" w:hAnsiTheme="minorHAnsi"/>
                <w:i/>
                <w:color w:val="833C0B" w:themeColor="accent2" w:themeShade="80"/>
                <w:sz w:val="20"/>
                <w:szCs w:val="20"/>
              </w:rPr>
              <w:t xml:space="preserve">D </w:t>
            </w:r>
            <w:r w:rsidRPr="00A43990">
              <w:rPr>
                <w:rFonts w:asciiTheme="minorHAnsi" w:hAnsiTheme="minorHAnsi"/>
                <w:color w:val="833C0B" w:themeColor="accent2" w:themeShade="80"/>
                <w:sz w:val="20"/>
                <w:szCs w:val="20"/>
              </w:rPr>
              <w:t>é o declive da superfície topográfica;</w:t>
            </w:r>
          </w:p>
          <w:p w:rsidR="00A43990" w:rsidRPr="00A43990" w:rsidRDefault="00A43990" w:rsidP="00A43990">
            <w:pPr>
              <w:spacing w:after="0" w:line="240" w:lineRule="auto"/>
              <w:rPr>
                <w:rFonts w:asciiTheme="minorHAnsi" w:hAnsiTheme="minorHAnsi"/>
                <w:color w:val="833C0B" w:themeColor="accent2" w:themeShade="80"/>
                <w:sz w:val="20"/>
                <w:szCs w:val="20"/>
              </w:rPr>
            </w:pPr>
            <w:r w:rsidRPr="00A43990">
              <w:rPr>
                <w:rFonts w:asciiTheme="minorHAnsi" w:hAnsiTheme="minorHAnsi"/>
                <w:i/>
                <w:color w:val="833C0B" w:themeColor="accent2" w:themeShade="80"/>
                <w:sz w:val="20"/>
                <w:szCs w:val="20"/>
              </w:rPr>
              <w:t xml:space="preserve">ZV </w:t>
            </w:r>
            <w:r w:rsidRPr="00A43990">
              <w:rPr>
                <w:rFonts w:asciiTheme="minorHAnsi" w:hAnsiTheme="minorHAnsi"/>
                <w:color w:val="833C0B" w:themeColor="accent2" w:themeShade="80"/>
                <w:sz w:val="20"/>
                <w:szCs w:val="20"/>
              </w:rPr>
              <w:t>representa o índice da litologia e estrutura da zona vadosa.</w:t>
            </w:r>
          </w:p>
          <w:p w:rsidR="00A43990" w:rsidRPr="00A43990" w:rsidRDefault="00A43990" w:rsidP="00A43990">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Os valores calculados são arredondados para o inteiro mais próximo e agrupados em 10 classes (numeradas de 1 a 10). A classe 1 diz respeito à situação de recarga efetiva mínima e a classe 10 à situação hidrogeológica com maior capacidade de recarga efetiva.</w:t>
            </w:r>
          </w:p>
          <w:p w:rsidR="00FE4FF6" w:rsidRDefault="00A43990" w:rsidP="00A43990">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Integram a REN as áreas com índices de recarga efetiva (</w:t>
            </w:r>
            <w:proofErr w:type="spellStart"/>
            <w:r w:rsidRPr="00A43990">
              <w:rPr>
                <w:rFonts w:asciiTheme="minorHAnsi" w:hAnsiTheme="minorHAnsi"/>
                <w:i/>
                <w:color w:val="833C0B" w:themeColor="accent2" w:themeShade="80"/>
                <w:sz w:val="20"/>
                <w:szCs w:val="20"/>
              </w:rPr>
              <w:t>IRef</w:t>
            </w:r>
            <w:proofErr w:type="spellEnd"/>
            <w:r w:rsidRPr="00A43990">
              <w:rPr>
                <w:rFonts w:asciiTheme="minorHAnsi" w:hAnsiTheme="minorHAnsi"/>
                <w:color w:val="833C0B" w:themeColor="accent2" w:themeShade="80"/>
                <w:sz w:val="20"/>
                <w:szCs w:val="20"/>
              </w:rPr>
              <w:t>) das classes igual ou superior 8, independentemente do declive, e das classes 6 e 7 com declive &lt;6%.</w:t>
            </w:r>
          </w:p>
          <w:p w:rsidR="00A43990" w:rsidRPr="00A43990" w:rsidRDefault="00A43990" w:rsidP="00DA213F">
            <w:pPr>
              <w:spacing w:after="0" w:line="240" w:lineRule="auto"/>
              <w:rPr>
                <w:rFonts w:asciiTheme="minorHAnsi" w:hAnsiTheme="minorHAnsi"/>
                <w:color w:val="833C0B" w:themeColor="accent2" w:themeShade="80"/>
                <w:sz w:val="20"/>
                <w:szCs w:val="20"/>
              </w:rPr>
            </w:pPr>
          </w:p>
          <w:p w:rsidR="00DA213F" w:rsidRPr="00A43990" w:rsidRDefault="00DA213F" w:rsidP="00DA213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As áreas integradas na REN com base no conceito de vulnerabilidade à poluição devem ser alteradas na sequência de um conhecimento mais rigoroso acerca da recarga e descarga de aquíferos, resultante de modelos numéricos de escoamento subterrâneo.</w:t>
            </w:r>
          </w:p>
          <w:p w:rsidR="00DA213F" w:rsidRPr="00A43990" w:rsidRDefault="00DA213F" w:rsidP="00DA213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Devem ser delimitadas como áreas fundamentais à proteção dos aquíferos, com grande importância estratégica para a sustentabilidade do ciclo hidrológico terrestre, as áreas de descarga identificadas em estudos específicos validados, em especial as referentes a aquíferos costeiros e de zonas estuarinas, já que a alteração dos seus caudais de descarga, principalmente devido à sobre-exploração, tem um impacto significativo nas taxas de diluição das águas, modificando as características dos habitats dos ecossistemas daquelas zonas pelas alterações na qualidade da água, em particular da salinidade.</w:t>
            </w:r>
          </w:p>
          <w:p w:rsidR="00DA213F" w:rsidRPr="00A43990" w:rsidRDefault="00DA213F" w:rsidP="005550FF">
            <w:pPr>
              <w:spacing w:after="0" w:line="240" w:lineRule="auto"/>
              <w:rPr>
                <w:rFonts w:asciiTheme="minorHAnsi" w:hAnsiTheme="minorHAnsi"/>
                <w:color w:val="833C0B" w:themeColor="accent2" w:themeShade="80"/>
                <w:sz w:val="20"/>
                <w:szCs w:val="20"/>
              </w:rPr>
            </w:pPr>
            <w:r w:rsidRPr="00A43990">
              <w:rPr>
                <w:rFonts w:asciiTheme="minorHAnsi" w:hAnsiTheme="minorHAnsi"/>
                <w:color w:val="833C0B" w:themeColor="accent2" w:themeShade="80"/>
                <w:sz w:val="20"/>
                <w:szCs w:val="20"/>
              </w:rPr>
              <w:t>A espacialização do resultado deve ser sujeita a generalização tendo por referência a área de 1 hectare.</w:t>
            </w:r>
          </w:p>
        </w:tc>
        <w:tc>
          <w:tcPr>
            <w:tcW w:w="4110" w:type="dxa"/>
          </w:tcPr>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lastRenderedPageBreak/>
              <w:t>O PROT Alentejo considera a proteção das águas subterrâneas um objetivo territorial estratégico da maior importância no quadro de um desenvolvimento equilibrado e duradouro da região.</w:t>
            </w: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Na delimitação deste sistema a região conta com a vantagem de possuir vários estudos que visam os sistemas aquíferos, de entre os quais o ERHSA – Estudo dos Recursos Hídricos Subterrâneos do Alentejo (CCDRA, 2003).</w:t>
            </w:r>
          </w:p>
          <w:p w:rsidR="00AE1718"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No entanto, nem sempre estão disponíveis os modelos da</w:t>
            </w:r>
            <w:r w:rsidR="00D63690">
              <w:rPr>
                <w:rFonts w:asciiTheme="minorHAnsi" w:hAnsiTheme="minorHAnsi"/>
                <w:color w:val="BF8F00" w:themeColor="accent4" w:themeShade="BF"/>
                <w:sz w:val="20"/>
                <w:szCs w:val="20"/>
              </w:rPr>
              <w:t xml:space="preserve"> </w:t>
            </w:r>
            <w:r w:rsidRPr="00C138AF">
              <w:rPr>
                <w:rFonts w:asciiTheme="minorHAnsi" w:hAnsiTheme="minorHAnsi"/>
                <w:color w:val="BF8F00" w:themeColor="accent4" w:themeShade="BF"/>
                <w:sz w:val="20"/>
                <w:szCs w:val="20"/>
              </w:rPr>
              <w:t>hidrod</w:t>
            </w:r>
            <w:r w:rsidR="00AE1718">
              <w:rPr>
                <w:rFonts w:asciiTheme="minorHAnsi" w:hAnsiTheme="minorHAnsi"/>
                <w:color w:val="BF8F00" w:themeColor="accent4" w:themeShade="BF"/>
                <w:sz w:val="20"/>
                <w:szCs w:val="20"/>
              </w:rPr>
              <w:t>inâmica subterrânea calibrados.</w:t>
            </w: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Na ausência de modelos numéricos faz-se a delimitação com base no conceito de vulnerabilidade à poluição, a partir de índices que têm em conta a definição do tipo de aquífero.</w:t>
            </w: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Além da cartografia referida no início, para a delimitação destas áreas utilizou-se igualmente como fonte de informação os dados das captações subterrâneas públicas e particulares (APA, IP).</w:t>
            </w:r>
          </w:p>
        </w:tc>
        <w:tc>
          <w:tcPr>
            <w:tcW w:w="4110" w:type="dxa"/>
          </w:tcPr>
          <w:p w:rsidR="00D63690" w:rsidRDefault="00D63690" w:rsidP="004905D2">
            <w:pPr>
              <w:spacing w:after="0" w:line="240" w:lineRule="auto"/>
              <w:rPr>
                <w:rFonts w:asciiTheme="minorHAnsi" w:hAnsiTheme="minorHAnsi"/>
                <w:i/>
                <w:color w:val="C45911" w:themeColor="accent2" w:themeShade="BF"/>
                <w:sz w:val="20"/>
                <w:szCs w:val="20"/>
              </w:rPr>
            </w:pPr>
            <w:r w:rsidRPr="00D63690">
              <w:rPr>
                <w:rFonts w:asciiTheme="minorHAnsi" w:hAnsiTheme="minorHAnsi"/>
                <w:i/>
                <w:color w:val="C45911" w:themeColor="accent2" w:themeShade="BF"/>
                <w:sz w:val="20"/>
                <w:szCs w:val="20"/>
              </w:rPr>
              <w:t>Guia Metodológico de Delimitação/Alteração da Delimitação da REN, da CCDR Algarve – páginas 60 a 69.</w:t>
            </w:r>
          </w:p>
          <w:p w:rsidR="004905D2" w:rsidRPr="004905D2" w:rsidRDefault="004905D2" w:rsidP="004905D2">
            <w:pPr>
              <w:spacing w:after="0" w:line="240" w:lineRule="auto"/>
              <w:rPr>
                <w:rFonts w:asciiTheme="minorHAnsi" w:hAnsiTheme="minorHAnsi"/>
                <w:color w:val="C45911" w:themeColor="accent2" w:themeShade="BF"/>
                <w:sz w:val="20"/>
                <w:szCs w:val="20"/>
              </w:rPr>
            </w:pPr>
            <w:r w:rsidRPr="004905D2">
              <w:rPr>
                <w:rFonts w:asciiTheme="minorHAnsi" w:hAnsiTheme="minorHAnsi"/>
                <w:color w:val="C45911" w:themeColor="accent2" w:themeShade="BF"/>
                <w:sz w:val="20"/>
                <w:szCs w:val="20"/>
              </w:rPr>
              <w:t xml:space="preserve">Na Região do Algarve as áreas potenciais para a </w:t>
            </w:r>
            <w:r w:rsidR="00D63690" w:rsidRPr="004905D2">
              <w:rPr>
                <w:rFonts w:asciiTheme="minorHAnsi" w:hAnsiTheme="minorHAnsi"/>
                <w:color w:val="C45911" w:themeColor="accent2" w:themeShade="BF"/>
                <w:sz w:val="20"/>
                <w:szCs w:val="20"/>
              </w:rPr>
              <w:t>proteção</w:t>
            </w:r>
            <w:r w:rsidRPr="004905D2">
              <w:rPr>
                <w:rFonts w:asciiTheme="minorHAnsi" w:hAnsiTheme="minorHAnsi"/>
                <w:color w:val="C45911" w:themeColor="accent2" w:themeShade="BF"/>
                <w:sz w:val="20"/>
                <w:szCs w:val="20"/>
              </w:rPr>
              <w:t xml:space="preserve"> e recarga de aquíferos, nas zonas onde existem formações carbonatadas, correspondem às áreas de afloramentos destas formações, e onde a morfologia cársica esteja bem representada. Nas zonas onde existem formações ígneas e metamórficas, deverão considerar-se os afloramentos rochosos, que apresentam elevada </w:t>
            </w:r>
            <w:proofErr w:type="spellStart"/>
            <w:r w:rsidRPr="004905D2">
              <w:rPr>
                <w:rFonts w:asciiTheme="minorHAnsi" w:hAnsiTheme="minorHAnsi"/>
                <w:color w:val="C45911" w:themeColor="accent2" w:themeShade="BF"/>
                <w:sz w:val="20"/>
                <w:szCs w:val="20"/>
              </w:rPr>
              <w:t>fraturação</w:t>
            </w:r>
            <w:proofErr w:type="spellEnd"/>
            <w:r w:rsidRPr="004905D2">
              <w:rPr>
                <w:rFonts w:asciiTheme="minorHAnsi" w:hAnsiTheme="minorHAnsi"/>
                <w:color w:val="C45911" w:themeColor="accent2" w:themeShade="BF"/>
                <w:sz w:val="20"/>
                <w:szCs w:val="20"/>
              </w:rPr>
              <w:t>. Deverão ser integradas na REN, apenas as formações geológicas que apresentam uma alta capacidade de infiltração.</w:t>
            </w:r>
          </w:p>
          <w:p w:rsidR="004905D2" w:rsidRPr="004905D2" w:rsidRDefault="004905D2" w:rsidP="004905D2">
            <w:pPr>
              <w:spacing w:after="0" w:line="240" w:lineRule="auto"/>
              <w:rPr>
                <w:rFonts w:asciiTheme="minorHAnsi" w:hAnsiTheme="minorHAnsi"/>
                <w:color w:val="C45911" w:themeColor="accent2" w:themeShade="BF"/>
                <w:sz w:val="20"/>
                <w:szCs w:val="20"/>
              </w:rPr>
            </w:pPr>
            <w:r w:rsidRPr="004905D2">
              <w:rPr>
                <w:rFonts w:asciiTheme="minorHAnsi" w:hAnsiTheme="minorHAnsi"/>
                <w:color w:val="C45911" w:themeColor="accent2" w:themeShade="BF"/>
                <w:sz w:val="20"/>
                <w:szCs w:val="20"/>
              </w:rPr>
              <w:t xml:space="preserve">Associado ao fator geológico poderão ser associados outros </w:t>
            </w:r>
            <w:r w:rsidR="00971BBE" w:rsidRPr="004905D2">
              <w:rPr>
                <w:rFonts w:asciiTheme="minorHAnsi" w:hAnsiTheme="minorHAnsi"/>
                <w:color w:val="C45911" w:themeColor="accent2" w:themeShade="BF"/>
                <w:sz w:val="20"/>
                <w:szCs w:val="20"/>
              </w:rPr>
              <w:t>fatores</w:t>
            </w:r>
            <w:r w:rsidRPr="004905D2">
              <w:rPr>
                <w:rFonts w:asciiTheme="minorHAnsi" w:hAnsiTheme="minorHAnsi"/>
                <w:color w:val="C45911" w:themeColor="accent2" w:themeShade="BF"/>
                <w:sz w:val="20"/>
                <w:szCs w:val="20"/>
              </w:rPr>
              <w:t xml:space="preserve"> como o declive, uso do solo, estrutura e grau de </w:t>
            </w:r>
            <w:proofErr w:type="spellStart"/>
            <w:r w:rsidRPr="004905D2">
              <w:rPr>
                <w:rFonts w:asciiTheme="minorHAnsi" w:hAnsiTheme="minorHAnsi"/>
                <w:color w:val="C45911" w:themeColor="accent2" w:themeShade="BF"/>
                <w:sz w:val="20"/>
                <w:szCs w:val="20"/>
              </w:rPr>
              <w:t>fraturação</w:t>
            </w:r>
            <w:proofErr w:type="spellEnd"/>
            <w:r w:rsidRPr="004905D2">
              <w:rPr>
                <w:rFonts w:asciiTheme="minorHAnsi" w:hAnsiTheme="minorHAnsi"/>
                <w:color w:val="C45911" w:themeColor="accent2" w:themeShade="BF"/>
                <w:sz w:val="20"/>
                <w:szCs w:val="20"/>
              </w:rPr>
              <w:t xml:space="preserve"> dos materiais, bem como as depressões cársicas. </w:t>
            </w:r>
          </w:p>
          <w:p w:rsidR="004905D2" w:rsidRPr="004905D2" w:rsidRDefault="004905D2" w:rsidP="004905D2">
            <w:pPr>
              <w:spacing w:after="0" w:line="240" w:lineRule="auto"/>
              <w:rPr>
                <w:rFonts w:asciiTheme="minorHAnsi" w:hAnsiTheme="minorHAnsi"/>
                <w:color w:val="C45911" w:themeColor="accent2" w:themeShade="BF"/>
                <w:sz w:val="20"/>
                <w:szCs w:val="20"/>
              </w:rPr>
            </w:pPr>
          </w:p>
          <w:p w:rsidR="004905D2" w:rsidRPr="004905D2" w:rsidRDefault="004905D2" w:rsidP="004905D2">
            <w:pPr>
              <w:spacing w:after="0" w:line="240" w:lineRule="auto"/>
              <w:rPr>
                <w:rFonts w:asciiTheme="minorHAnsi" w:hAnsiTheme="minorHAnsi"/>
                <w:color w:val="C45911" w:themeColor="accent2" w:themeShade="BF"/>
                <w:sz w:val="20"/>
                <w:szCs w:val="20"/>
              </w:rPr>
            </w:pPr>
            <w:r w:rsidRPr="004905D2">
              <w:rPr>
                <w:rFonts w:asciiTheme="minorHAnsi" w:hAnsiTheme="minorHAnsi"/>
                <w:color w:val="C45911" w:themeColor="accent2" w:themeShade="BF"/>
                <w:sz w:val="20"/>
                <w:szCs w:val="20"/>
              </w:rPr>
              <w:t xml:space="preserve">Devem também considerar-se as zonas fisiográficas de separação das bacias hidrográficas que sejam passíveis de individualização no interior de cada concelho ou na sua fronteira, bem como as zonas fisiográficas de individualização de </w:t>
            </w:r>
            <w:proofErr w:type="spellStart"/>
            <w:r w:rsidRPr="004905D2">
              <w:rPr>
                <w:rFonts w:asciiTheme="minorHAnsi" w:hAnsiTheme="minorHAnsi"/>
                <w:color w:val="C45911" w:themeColor="accent2" w:themeShade="BF"/>
                <w:sz w:val="20"/>
                <w:szCs w:val="20"/>
              </w:rPr>
              <w:t>sub-bacias</w:t>
            </w:r>
            <w:proofErr w:type="spellEnd"/>
            <w:r w:rsidRPr="004905D2">
              <w:rPr>
                <w:rFonts w:asciiTheme="minorHAnsi" w:hAnsiTheme="minorHAnsi"/>
                <w:color w:val="C45911" w:themeColor="accent2" w:themeShade="BF"/>
                <w:sz w:val="20"/>
                <w:szCs w:val="20"/>
              </w:rPr>
              <w:t>, quando a respetiva área de drenagem e a importância do seu ramo principal justifique a delimitação de cabeceiras das linhas de água.</w:t>
            </w:r>
          </w:p>
          <w:p w:rsidR="004905D2" w:rsidRPr="004905D2" w:rsidRDefault="004905D2" w:rsidP="004905D2">
            <w:pPr>
              <w:spacing w:after="0" w:line="240" w:lineRule="auto"/>
              <w:rPr>
                <w:rFonts w:asciiTheme="minorHAnsi" w:hAnsiTheme="minorHAnsi"/>
                <w:color w:val="C45911" w:themeColor="accent2" w:themeShade="BF"/>
                <w:sz w:val="20"/>
                <w:szCs w:val="20"/>
              </w:rPr>
            </w:pPr>
            <w:r w:rsidRPr="004905D2">
              <w:rPr>
                <w:rFonts w:asciiTheme="minorHAnsi" w:hAnsiTheme="minorHAnsi"/>
                <w:color w:val="C45911" w:themeColor="accent2" w:themeShade="BF"/>
                <w:sz w:val="20"/>
                <w:szCs w:val="20"/>
              </w:rPr>
              <w:t>Apresentam-se os seguintes procedimentos base para a cartografia dessas áreas:</w:t>
            </w:r>
          </w:p>
          <w:p w:rsidR="004905D2" w:rsidRPr="004905D2" w:rsidRDefault="004905D2" w:rsidP="00971BBE">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4905D2">
              <w:rPr>
                <w:rFonts w:asciiTheme="minorHAnsi" w:hAnsiTheme="minorHAnsi"/>
                <w:color w:val="C45911" w:themeColor="accent2" w:themeShade="BF"/>
                <w:sz w:val="20"/>
                <w:szCs w:val="20"/>
              </w:rPr>
              <w:t xml:space="preserve">Estudo prévio de integração fisiográfica, feito sobre Carta Militar, para estabelecer a hierarquização das linhas estruturantes do relevo (festos/linhas de separação da drenagem superficial e talvegues/linhas de água e de drenagem natural). Esse estudo poderá transcender a área geográfica do concelho em estudo, com o </w:t>
            </w:r>
            <w:proofErr w:type="spellStart"/>
            <w:r w:rsidRPr="004905D2">
              <w:rPr>
                <w:rFonts w:asciiTheme="minorHAnsi" w:hAnsiTheme="minorHAnsi"/>
                <w:color w:val="C45911" w:themeColor="accent2" w:themeShade="BF"/>
                <w:sz w:val="20"/>
                <w:szCs w:val="20"/>
              </w:rPr>
              <w:t>objectivo</w:t>
            </w:r>
            <w:proofErr w:type="spellEnd"/>
            <w:r w:rsidRPr="004905D2">
              <w:rPr>
                <w:rFonts w:asciiTheme="minorHAnsi" w:hAnsiTheme="minorHAnsi"/>
                <w:color w:val="C45911" w:themeColor="accent2" w:themeShade="BF"/>
                <w:sz w:val="20"/>
                <w:szCs w:val="20"/>
              </w:rPr>
              <w:t xml:space="preserve"> de </w:t>
            </w:r>
            <w:r w:rsidRPr="004905D2">
              <w:rPr>
                <w:rFonts w:asciiTheme="minorHAnsi" w:hAnsiTheme="minorHAnsi"/>
                <w:color w:val="C45911" w:themeColor="accent2" w:themeShade="BF"/>
                <w:sz w:val="20"/>
                <w:szCs w:val="20"/>
              </w:rPr>
              <w:lastRenderedPageBreak/>
              <w:t xml:space="preserve">identificar as principais linhas de cumeada que delimitam as bacias hidrográficas que drenam no concelho; </w:t>
            </w:r>
          </w:p>
          <w:p w:rsidR="004905D2" w:rsidRPr="004905D2" w:rsidRDefault="004905D2" w:rsidP="00971BBE">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4905D2">
              <w:rPr>
                <w:rFonts w:asciiTheme="minorHAnsi" w:hAnsiTheme="minorHAnsi"/>
                <w:color w:val="C45911" w:themeColor="accent2" w:themeShade="BF"/>
                <w:sz w:val="20"/>
                <w:szCs w:val="20"/>
              </w:rPr>
              <w:t>Análise das bacias drenantes, cuja importância relativa justifique a delimitação de zonas fisiográficas de separação;</w:t>
            </w:r>
          </w:p>
          <w:p w:rsidR="004905D2" w:rsidRPr="004905D2" w:rsidRDefault="004905D2" w:rsidP="00971BBE">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4905D2">
              <w:rPr>
                <w:rFonts w:asciiTheme="minorHAnsi" w:hAnsiTheme="minorHAnsi"/>
                <w:color w:val="C45911" w:themeColor="accent2" w:themeShade="BF"/>
                <w:sz w:val="20"/>
                <w:szCs w:val="20"/>
              </w:rPr>
              <w:t xml:space="preserve">Diagnóstico das redes hidrográficas relativas a essas bacias, densidade da rede de drenagem, ordem dos cursos de água (Classificação de </w:t>
            </w:r>
            <w:proofErr w:type="spellStart"/>
            <w:r w:rsidRPr="004905D2">
              <w:rPr>
                <w:rFonts w:asciiTheme="minorHAnsi" w:hAnsiTheme="minorHAnsi"/>
                <w:color w:val="C45911" w:themeColor="accent2" w:themeShade="BF"/>
                <w:sz w:val="20"/>
                <w:szCs w:val="20"/>
              </w:rPr>
              <w:t>Strahler</w:t>
            </w:r>
            <w:proofErr w:type="spellEnd"/>
            <w:r w:rsidRPr="004905D2">
              <w:rPr>
                <w:rFonts w:asciiTheme="minorHAnsi" w:hAnsiTheme="minorHAnsi"/>
                <w:color w:val="C45911" w:themeColor="accent2" w:themeShade="BF"/>
                <w:sz w:val="20"/>
                <w:szCs w:val="20"/>
              </w:rPr>
              <w:t>), importância das suas linhas de cumeada e cotas de maior significado.</w:t>
            </w:r>
          </w:p>
          <w:p w:rsidR="004905D2" w:rsidRPr="004905D2" w:rsidRDefault="004905D2" w:rsidP="004905D2">
            <w:pPr>
              <w:spacing w:after="0" w:line="240" w:lineRule="auto"/>
              <w:rPr>
                <w:rFonts w:asciiTheme="minorHAnsi" w:hAnsiTheme="minorHAnsi"/>
                <w:color w:val="C45911" w:themeColor="accent2" w:themeShade="BF"/>
                <w:sz w:val="20"/>
                <w:szCs w:val="20"/>
              </w:rPr>
            </w:pPr>
          </w:p>
          <w:p w:rsidR="004905D2" w:rsidRPr="004905D2" w:rsidRDefault="004905D2" w:rsidP="004905D2">
            <w:pPr>
              <w:spacing w:after="0" w:line="240" w:lineRule="auto"/>
              <w:rPr>
                <w:rFonts w:asciiTheme="minorHAnsi" w:hAnsiTheme="minorHAnsi"/>
                <w:color w:val="C45911" w:themeColor="accent2" w:themeShade="BF"/>
                <w:sz w:val="20"/>
                <w:szCs w:val="20"/>
              </w:rPr>
            </w:pPr>
            <w:r w:rsidRPr="004905D2">
              <w:rPr>
                <w:rFonts w:asciiTheme="minorHAnsi" w:hAnsiTheme="minorHAnsi"/>
                <w:color w:val="C45911" w:themeColor="accent2" w:themeShade="BF"/>
                <w:sz w:val="20"/>
                <w:szCs w:val="20"/>
              </w:rPr>
              <w:t>Critérios auxiliares:</w:t>
            </w:r>
          </w:p>
          <w:p w:rsidR="004905D2" w:rsidRPr="00971BBE" w:rsidRDefault="004905D2" w:rsidP="00971BBE">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71BBE">
              <w:rPr>
                <w:rFonts w:asciiTheme="minorHAnsi" w:hAnsiTheme="minorHAnsi"/>
                <w:color w:val="C45911" w:themeColor="accent2" w:themeShade="BF"/>
                <w:sz w:val="20"/>
                <w:szCs w:val="20"/>
              </w:rPr>
              <w:t>A faixa de separação fisiográfica, definida a partir dos festos, deverá alcançar, no mínimo, a primeira intersecção das linhas de água de 1ª ordem;</w:t>
            </w:r>
          </w:p>
          <w:p w:rsidR="004905D2" w:rsidRPr="00971BBE" w:rsidRDefault="004905D2" w:rsidP="00971BBE">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71BBE">
              <w:rPr>
                <w:rFonts w:asciiTheme="minorHAnsi" w:hAnsiTheme="minorHAnsi"/>
                <w:color w:val="C45911" w:themeColor="accent2" w:themeShade="BF"/>
                <w:sz w:val="20"/>
                <w:szCs w:val="20"/>
              </w:rPr>
              <w:t>A largura da faixa não deverá ser inferior a 250 metros, medida para cada lado da linha de festo, considerando a distância compreendida entre a linha de festo e a primeira interseção das linhas de água. Quando essa distância não for cumprida, serão incluídas as confluências de 2ª e/ou 3ª ordem;</w:t>
            </w:r>
          </w:p>
          <w:p w:rsidR="004905D2" w:rsidRPr="00971BBE" w:rsidRDefault="004905D2" w:rsidP="00971BBE">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71BBE">
              <w:rPr>
                <w:rFonts w:asciiTheme="minorHAnsi" w:hAnsiTheme="minorHAnsi"/>
                <w:color w:val="C45911" w:themeColor="accent2" w:themeShade="BF"/>
                <w:sz w:val="20"/>
                <w:szCs w:val="20"/>
              </w:rPr>
              <w:t xml:space="preserve">Sempre que a primeira interseção de linhas de água de 1ª ordem ocorra a mais de 1 km da linha de festo, a delimitação da faixa deverá processar-se à latitude média dos sectores contíguos delimitados; </w:t>
            </w:r>
          </w:p>
          <w:p w:rsidR="004905D2" w:rsidRPr="00971BBE" w:rsidRDefault="004905D2" w:rsidP="00971BBE">
            <w:pPr>
              <w:pStyle w:val="PargrafodaLista"/>
              <w:numPr>
                <w:ilvl w:val="0"/>
                <w:numId w:val="17"/>
              </w:numPr>
              <w:spacing w:after="0" w:line="240" w:lineRule="auto"/>
              <w:ind w:left="320"/>
              <w:rPr>
                <w:rFonts w:asciiTheme="minorHAnsi" w:hAnsiTheme="minorHAnsi"/>
                <w:color w:val="C45911" w:themeColor="accent2" w:themeShade="BF"/>
                <w:sz w:val="20"/>
                <w:szCs w:val="20"/>
              </w:rPr>
            </w:pPr>
            <w:r w:rsidRPr="00971BBE">
              <w:rPr>
                <w:rFonts w:asciiTheme="minorHAnsi" w:hAnsiTheme="minorHAnsi"/>
                <w:color w:val="C45911" w:themeColor="accent2" w:themeShade="BF"/>
                <w:sz w:val="20"/>
                <w:szCs w:val="20"/>
              </w:rPr>
              <w:t>A delimitação não se deverá estender para além do terço superior da encosta.</w:t>
            </w:r>
          </w:p>
          <w:p w:rsidR="004905D2" w:rsidRPr="004905D2" w:rsidRDefault="004905D2" w:rsidP="004905D2">
            <w:pPr>
              <w:spacing w:after="0" w:line="240" w:lineRule="auto"/>
              <w:rPr>
                <w:rFonts w:asciiTheme="minorHAnsi" w:hAnsiTheme="minorHAnsi"/>
                <w:color w:val="C45911" w:themeColor="accent2" w:themeShade="BF"/>
                <w:sz w:val="20"/>
                <w:szCs w:val="20"/>
              </w:rPr>
            </w:pPr>
          </w:p>
          <w:p w:rsidR="00422172" w:rsidRDefault="004905D2" w:rsidP="004905D2">
            <w:pPr>
              <w:spacing w:after="0" w:line="240" w:lineRule="auto"/>
              <w:rPr>
                <w:rFonts w:asciiTheme="minorHAnsi" w:hAnsiTheme="minorHAnsi"/>
                <w:color w:val="C45911" w:themeColor="accent2" w:themeShade="BF"/>
                <w:sz w:val="20"/>
                <w:szCs w:val="20"/>
              </w:rPr>
            </w:pPr>
            <w:r w:rsidRPr="004905D2">
              <w:rPr>
                <w:rFonts w:asciiTheme="minorHAnsi" w:hAnsiTheme="minorHAnsi"/>
                <w:color w:val="C45911" w:themeColor="accent2" w:themeShade="BF"/>
                <w:sz w:val="20"/>
                <w:szCs w:val="20"/>
              </w:rPr>
              <w:t>No Algarve encontram-se delimitados 17 sistemas aquíferos, destacando-se os sistemas aquíferos de Querença/Silves, Almádena/Odiáxere, Campina de Faro e Luz/Tavira.</w:t>
            </w:r>
          </w:p>
          <w:p w:rsidR="004905D2" w:rsidRPr="004905D2" w:rsidRDefault="004905D2" w:rsidP="004905D2">
            <w:pPr>
              <w:spacing w:after="0" w:line="240" w:lineRule="auto"/>
              <w:rPr>
                <w:rFonts w:asciiTheme="minorHAnsi" w:hAnsiTheme="minorHAnsi"/>
                <w:color w:val="C45911" w:themeColor="accent2" w:themeShade="BF"/>
                <w:sz w:val="20"/>
                <w:szCs w:val="20"/>
              </w:rPr>
            </w:pPr>
          </w:p>
        </w:tc>
      </w:tr>
      <w:tr w:rsidR="00422172" w:rsidRPr="00C138AF" w:rsidTr="007806B0">
        <w:trPr>
          <w:trHeight w:val="283"/>
        </w:trPr>
        <w:tc>
          <w:tcPr>
            <w:tcW w:w="22557" w:type="dxa"/>
            <w:gridSpan w:val="6"/>
            <w:shd w:val="clear" w:color="auto" w:fill="D9D9D9" w:themeFill="background1" w:themeFillShade="D9"/>
            <w:vAlign w:val="center"/>
          </w:tcPr>
          <w:p w:rsidR="00422172" w:rsidRPr="00EC5321" w:rsidRDefault="00422172" w:rsidP="00422172">
            <w:pPr>
              <w:pStyle w:val="PargrafodaLista"/>
              <w:numPr>
                <w:ilvl w:val="0"/>
                <w:numId w:val="11"/>
              </w:numPr>
              <w:spacing w:after="0" w:line="240" w:lineRule="auto"/>
              <w:jc w:val="left"/>
              <w:rPr>
                <w:rFonts w:asciiTheme="minorHAnsi" w:hAnsiTheme="minorHAnsi"/>
                <w:color w:val="000000" w:themeColor="text1"/>
                <w:sz w:val="20"/>
                <w:szCs w:val="20"/>
              </w:rPr>
            </w:pPr>
            <w:r w:rsidRPr="00EC5321">
              <w:rPr>
                <w:rFonts w:asciiTheme="minorHAnsi" w:hAnsiTheme="minorHAnsi"/>
                <w:b/>
                <w:color w:val="000000" w:themeColor="text1"/>
                <w:sz w:val="20"/>
                <w:szCs w:val="20"/>
              </w:rPr>
              <w:lastRenderedPageBreak/>
              <w:t>ÁREAS DE PREVENÇÃO DE RISCOS NATURAIS</w:t>
            </w:r>
          </w:p>
        </w:tc>
      </w:tr>
      <w:tr w:rsidR="00422172" w:rsidRPr="00C138AF" w:rsidTr="007806B0">
        <w:tc>
          <w:tcPr>
            <w:tcW w:w="2007" w:type="dxa"/>
            <w:vAlign w:val="center"/>
          </w:tcPr>
          <w:p w:rsidR="00422172" w:rsidRPr="00C138AF" w:rsidRDefault="00422172" w:rsidP="00422172">
            <w:pPr>
              <w:pStyle w:val="PargrafodaLista"/>
              <w:numPr>
                <w:ilvl w:val="0"/>
                <w:numId w:val="14"/>
              </w:numPr>
              <w:spacing w:after="0" w:line="240" w:lineRule="auto"/>
              <w:ind w:left="313"/>
              <w:rPr>
                <w:rFonts w:asciiTheme="minorHAnsi" w:hAnsiTheme="minorHAnsi"/>
                <w:sz w:val="20"/>
                <w:szCs w:val="20"/>
              </w:rPr>
            </w:pPr>
            <w:r w:rsidRPr="00C138AF">
              <w:rPr>
                <w:rFonts w:asciiTheme="minorHAnsi" w:hAnsiTheme="minorHAnsi"/>
                <w:sz w:val="20"/>
                <w:szCs w:val="20"/>
              </w:rPr>
              <w:t>Zonas adjacentes</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D6708D" w:rsidRDefault="006B3EA2" w:rsidP="00D6708D">
            <w:pPr>
              <w:spacing w:after="0" w:line="240" w:lineRule="auto"/>
              <w:rPr>
                <w:rFonts w:asciiTheme="minorHAnsi" w:hAnsiTheme="minorHAnsi"/>
                <w:color w:val="2E74B5" w:themeColor="accent1" w:themeShade="BF"/>
                <w:sz w:val="20"/>
                <w:szCs w:val="20"/>
              </w:rPr>
            </w:pPr>
            <w:r w:rsidRPr="00290FF3">
              <w:rPr>
                <w:rFonts w:asciiTheme="minorHAnsi" w:hAnsiTheme="minorHAnsi"/>
                <w:color w:val="2E74B5" w:themeColor="accent1" w:themeShade="BF"/>
                <w:sz w:val="20"/>
                <w:szCs w:val="20"/>
              </w:rPr>
              <w:t xml:space="preserve">Apesar de definida esta “zona adjacente”, o ponto 3.1 do Anexo da Resolução de Conselho de Ministros n.º 81/2012, de 3 de outubro, com Declaração de Retificação n.º 71/2012, de 30 de novembro, refere que “As zonas adjacentes são consideradas para efeito de delimitação da REN até serem atualizadas por zonas ameaçadas pelas cheias validadas pela entidade competente”. Deste modo, e uma vez </w:t>
            </w:r>
            <w:r w:rsidRPr="00290FF3">
              <w:rPr>
                <w:rFonts w:asciiTheme="minorHAnsi" w:hAnsiTheme="minorHAnsi"/>
                <w:color w:val="2E74B5" w:themeColor="accent1" w:themeShade="BF"/>
                <w:sz w:val="20"/>
                <w:szCs w:val="20"/>
              </w:rPr>
              <w:lastRenderedPageBreak/>
              <w:t>que já existe delimitação das zonas ameaçadas pelas cheias para o concelho da Covilhã e atendendo a que esta será devidamente validada no presente processo de elaboração da REN, a tipologia de “zonas adjacentes” deixará de necessariamente integrar a carta da REN do concelho.</w:t>
            </w:r>
          </w:p>
        </w:tc>
        <w:tc>
          <w:tcPr>
            <w:tcW w:w="4110" w:type="dxa"/>
          </w:tcPr>
          <w:p w:rsidR="00422172" w:rsidRPr="008B5227" w:rsidRDefault="00422172" w:rsidP="00422172">
            <w:pPr>
              <w:spacing w:after="0" w:line="240" w:lineRule="auto"/>
              <w:rPr>
                <w:rFonts w:asciiTheme="minorHAnsi" w:hAnsiTheme="minorHAnsi"/>
                <w:i/>
                <w:color w:val="833C0B" w:themeColor="accent2" w:themeShade="80"/>
                <w:sz w:val="20"/>
                <w:szCs w:val="20"/>
              </w:rPr>
            </w:pPr>
            <w:r w:rsidRPr="008B5227">
              <w:rPr>
                <w:rFonts w:asciiTheme="minorHAnsi" w:hAnsiTheme="minorHAnsi"/>
                <w:i/>
                <w:color w:val="833C0B" w:themeColor="accent2" w:themeShade="80"/>
                <w:sz w:val="20"/>
                <w:szCs w:val="20"/>
              </w:rPr>
              <w:lastRenderedPageBreak/>
              <w:t>Guia metodológico para delimitação da Reserva Ecológica Nacional em Lisboa e Vale do Tejo – página 98</w:t>
            </w:r>
            <w:r w:rsidR="00F93A13" w:rsidRPr="008B5227">
              <w:rPr>
                <w:rFonts w:asciiTheme="minorHAnsi" w:hAnsiTheme="minorHAnsi"/>
                <w:i/>
                <w:color w:val="833C0B" w:themeColor="accent2" w:themeShade="80"/>
                <w:sz w:val="20"/>
                <w:szCs w:val="20"/>
              </w:rPr>
              <w:t>.</w:t>
            </w:r>
          </w:p>
          <w:p w:rsidR="00784358" w:rsidRPr="008B5227" w:rsidRDefault="00784358" w:rsidP="00784358">
            <w:pPr>
              <w:spacing w:after="0" w:line="240" w:lineRule="auto"/>
              <w:rPr>
                <w:rFonts w:asciiTheme="minorHAnsi" w:hAnsiTheme="minorHAnsi"/>
                <w:i/>
                <w:color w:val="833C0B" w:themeColor="accent2" w:themeShade="80"/>
                <w:sz w:val="20"/>
                <w:szCs w:val="20"/>
              </w:rPr>
            </w:pPr>
          </w:p>
          <w:p w:rsidR="00784358" w:rsidRPr="008B5227" w:rsidRDefault="00784358" w:rsidP="00784358">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São consideradas até serem atualizadas por zonas ameaçadas pelas cheias validadas pela entidade competente as zonas adjacentes de:</w:t>
            </w:r>
          </w:p>
          <w:p w:rsidR="00784358" w:rsidRPr="008B5227" w:rsidRDefault="00784358" w:rsidP="00784358">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Ribeira da Laje</w:t>
            </w:r>
          </w:p>
          <w:p w:rsidR="00784358" w:rsidRPr="008B5227" w:rsidRDefault="00784358" w:rsidP="00784358">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Ribeira das Vinhas</w:t>
            </w:r>
          </w:p>
          <w:p w:rsidR="00784358" w:rsidRPr="008B5227" w:rsidRDefault="00784358" w:rsidP="00784358">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lastRenderedPageBreak/>
              <w:t>- Ribeira de Colares</w:t>
            </w:r>
          </w:p>
          <w:p w:rsidR="00784358" w:rsidRPr="008B5227" w:rsidRDefault="00784358" w:rsidP="00784358">
            <w:pPr>
              <w:spacing w:after="0" w:line="240" w:lineRule="auto"/>
              <w:rPr>
                <w:rFonts w:asciiTheme="minorHAnsi" w:hAnsiTheme="minorHAnsi"/>
                <w:i/>
                <w:color w:val="833C0B" w:themeColor="accent2" w:themeShade="80"/>
                <w:sz w:val="20"/>
                <w:szCs w:val="20"/>
              </w:rPr>
            </w:pPr>
            <w:r w:rsidRPr="008B5227">
              <w:rPr>
                <w:rFonts w:asciiTheme="minorHAnsi" w:hAnsiTheme="minorHAnsi"/>
                <w:color w:val="833C0B" w:themeColor="accent2" w:themeShade="80"/>
                <w:sz w:val="20"/>
                <w:szCs w:val="20"/>
              </w:rPr>
              <w:t>- Rio Jamor</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5C2F1C" w:rsidRDefault="005C2F1C" w:rsidP="00422172">
            <w:pPr>
              <w:spacing w:after="0" w:line="240" w:lineRule="auto"/>
              <w:rPr>
                <w:rFonts w:asciiTheme="minorHAnsi" w:hAnsiTheme="minorHAnsi"/>
                <w:i/>
                <w:color w:val="C45911" w:themeColor="accent2" w:themeShade="BF"/>
                <w:sz w:val="20"/>
                <w:szCs w:val="20"/>
              </w:rPr>
            </w:pPr>
            <w:r w:rsidRPr="0053774B">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 70</w:t>
            </w:r>
            <w:r w:rsidRPr="0053774B">
              <w:rPr>
                <w:rFonts w:asciiTheme="minorHAnsi" w:hAnsiTheme="minorHAnsi"/>
                <w:i/>
                <w:color w:val="C45911" w:themeColor="accent2" w:themeShade="BF"/>
                <w:sz w:val="20"/>
                <w:szCs w:val="20"/>
              </w:rPr>
              <w:t>.</w:t>
            </w:r>
          </w:p>
          <w:p w:rsidR="00422172" w:rsidRDefault="00971BBE" w:rsidP="00422172">
            <w:pPr>
              <w:spacing w:after="0" w:line="240" w:lineRule="auto"/>
              <w:rPr>
                <w:rFonts w:asciiTheme="minorHAnsi" w:hAnsiTheme="minorHAnsi"/>
                <w:color w:val="C45911" w:themeColor="accent2" w:themeShade="BF"/>
                <w:sz w:val="20"/>
                <w:szCs w:val="20"/>
              </w:rPr>
            </w:pPr>
            <w:r w:rsidRPr="00971BBE">
              <w:rPr>
                <w:rFonts w:asciiTheme="minorHAnsi" w:hAnsiTheme="minorHAnsi"/>
                <w:color w:val="C45911" w:themeColor="accent2" w:themeShade="BF"/>
                <w:sz w:val="20"/>
                <w:szCs w:val="20"/>
              </w:rPr>
              <w:t>Na região do Algarve não estão classificadas, por ato regulamentar, quaisquer zonas adjacentes nos termos da Lei da Titularidade dos Recursos Hídricos.</w:t>
            </w:r>
          </w:p>
          <w:p w:rsidR="00971BBE" w:rsidRPr="00971BBE" w:rsidRDefault="00971BBE" w:rsidP="00422172">
            <w:pPr>
              <w:spacing w:after="0" w:line="240" w:lineRule="auto"/>
              <w:rPr>
                <w:rFonts w:asciiTheme="minorHAnsi" w:hAnsiTheme="minorHAnsi"/>
                <w:color w:val="C45911" w:themeColor="accent2" w:themeShade="BF"/>
                <w:sz w:val="20"/>
                <w:szCs w:val="20"/>
              </w:rPr>
            </w:pPr>
          </w:p>
        </w:tc>
      </w:tr>
      <w:tr w:rsidR="00422172" w:rsidRPr="00C138AF" w:rsidTr="007806B0">
        <w:trPr>
          <w:trHeight w:val="284"/>
        </w:trPr>
        <w:tc>
          <w:tcPr>
            <w:tcW w:w="2007" w:type="dxa"/>
            <w:vAlign w:val="center"/>
          </w:tcPr>
          <w:p w:rsidR="00422172" w:rsidRPr="00C138AF" w:rsidRDefault="00422172" w:rsidP="00422172">
            <w:pPr>
              <w:pStyle w:val="PargrafodaLista"/>
              <w:numPr>
                <w:ilvl w:val="0"/>
                <w:numId w:val="14"/>
              </w:numPr>
              <w:spacing w:after="0" w:line="240" w:lineRule="auto"/>
              <w:ind w:left="313"/>
              <w:rPr>
                <w:rFonts w:asciiTheme="minorHAnsi" w:hAnsiTheme="minorHAnsi"/>
                <w:sz w:val="20"/>
                <w:szCs w:val="20"/>
              </w:rPr>
            </w:pPr>
            <w:r w:rsidRPr="00C138AF">
              <w:rPr>
                <w:rFonts w:asciiTheme="minorHAnsi" w:hAnsiTheme="minorHAnsi"/>
                <w:sz w:val="20"/>
                <w:szCs w:val="20"/>
              </w:rPr>
              <w:lastRenderedPageBreak/>
              <w:t>Zonas ameaçadas pelo mar</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B27C50" w:rsidRDefault="0092765C" w:rsidP="00D6708D">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 xml:space="preserve">Limite inferior: LMPMAVE disponibilizada pela </w:t>
            </w:r>
            <w:r w:rsidR="00B27C50">
              <w:rPr>
                <w:rFonts w:asciiTheme="minorHAnsi" w:hAnsiTheme="minorHAnsi"/>
                <w:color w:val="2E74B5" w:themeColor="accent1" w:themeShade="BF"/>
                <w:sz w:val="20"/>
                <w:szCs w:val="20"/>
              </w:rPr>
              <w:t>APA/</w:t>
            </w:r>
            <w:r w:rsidRPr="00D6708D">
              <w:rPr>
                <w:rFonts w:asciiTheme="minorHAnsi" w:hAnsiTheme="minorHAnsi"/>
                <w:color w:val="2E74B5" w:themeColor="accent1" w:themeShade="BF"/>
                <w:sz w:val="20"/>
                <w:szCs w:val="20"/>
              </w:rPr>
              <w:t>ARH Centro</w:t>
            </w:r>
            <w:r w:rsidR="00B27C50">
              <w:rPr>
                <w:rFonts w:asciiTheme="minorHAnsi" w:hAnsiTheme="minorHAnsi"/>
                <w:color w:val="2E74B5" w:themeColor="accent1" w:themeShade="BF"/>
                <w:sz w:val="20"/>
                <w:szCs w:val="20"/>
              </w:rPr>
              <w:t>.</w:t>
            </w:r>
          </w:p>
          <w:p w:rsidR="00422172" w:rsidRPr="00D6708D" w:rsidRDefault="00B27C50">
            <w:pPr>
              <w:spacing w:after="0" w:line="240" w:lineRule="auto"/>
              <w:rPr>
                <w:rFonts w:asciiTheme="minorHAnsi" w:hAnsiTheme="minorHAnsi"/>
                <w:color w:val="2E74B5" w:themeColor="accent1" w:themeShade="BF"/>
                <w:sz w:val="20"/>
                <w:szCs w:val="20"/>
              </w:rPr>
            </w:pPr>
            <w:r>
              <w:rPr>
                <w:rFonts w:asciiTheme="minorHAnsi" w:hAnsiTheme="minorHAnsi"/>
                <w:color w:val="2E74B5" w:themeColor="accent1" w:themeShade="BF"/>
                <w:sz w:val="20"/>
                <w:szCs w:val="20"/>
              </w:rPr>
              <w:t>R</w:t>
            </w:r>
            <w:r w:rsidR="0092765C" w:rsidRPr="00D6708D">
              <w:rPr>
                <w:rFonts w:asciiTheme="minorHAnsi" w:hAnsiTheme="minorHAnsi"/>
                <w:color w:val="2E74B5" w:themeColor="accent1" w:themeShade="BF"/>
                <w:sz w:val="20"/>
                <w:szCs w:val="20"/>
              </w:rPr>
              <w:t>efere-se a dificuldade na aplicação do efeito combinado das componentes 'sobre-elevação meteorológica' e 'espraio da onda'</w:t>
            </w:r>
            <w:r w:rsidR="0092765C">
              <w:rPr>
                <w:rFonts w:asciiTheme="minorHAnsi" w:hAnsiTheme="minorHAnsi"/>
                <w:color w:val="2E74B5" w:themeColor="accent1" w:themeShade="BF"/>
                <w:sz w:val="20"/>
                <w:szCs w:val="20"/>
              </w:rPr>
              <w:t>.</w:t>
            </w:r>
          </w:p>
        </w:tc>
        <w:tc>
          <w:tcPr>
            <w:tcW w:w="4110" w:type="dxa"/>
          </w:tcPr>
          <w:p w:rsidR="00DA213F" w:rsidRPr="008B5227" w:rsidRDefault="00DA213F" w:rsidP="00F31235">
            <w:pPr>
              <w:spacing w:after="0" w:line="240" w:lineRule="auto"/>
              <w:rPr>
                <w:rFonts w:asciiTheme="minorHAnsi" w:hAnsiTheme="minorHAnsi"/>
                <w:i/>
                <w:color w:val="833C0B" w:themeColor="accent2" w:themeShade="80"/>
                <w:sz w:val="20"/>
                <w:szCs w:val="20"/>
              </w:rPr>
            </w:pPr>
            <w:r w:rsidRPr="008B5227">
              <w:rPr>
                <w:rFonts w:asciiTheme="minorHAnsi" w:hAnsiTheme="minorHAnsi"/>
                <w:i/>
                <w:color w:val="833C0B" w:themeColor="accent2" w:themeShade="80"/>
                <w:sz w:val="20"/>
                <w:szCs w:val="20"/>
              </w:rPr>
              <w:t>Guia metodológico para delimitação da Reserva Ecológica Nacional em Lisboa e Vale do Tejo – páginas 99 e 100.</w:t>
            </w:r>
          </w:p>
          <w:p w:rsidR="00786483" w:rsidRPr="008B5227" w:rsidRDefault="00786483" w:rsidP="00F31235">
            <w:pPr>
              <w:spacing w:after="0" w:line="240" w:lineRule="auto"/>
              <w:rPr>
                <w:rFonts w:asciiTheme="minorHAnsi" w:hAnsiTheme="minorHAnsi"/>
                <w:i/>
                <w:color w:val="833C0B" w:themeColor="accent2" w:themeShade="80"/>
                <w:sz w:val="20"/>
                <w:szCs w:val="20"/>
              </w:rPr>
            </w:pPr>
          </w:p>
          <w:p w:rsidR="00F31235" w:rsidRPr="008B5227" w:rsidRDefault="00F31235" w:rsidP="00F31235">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 influência de cada componente é determinada preferencialmente à escala do litoral do concelho, por processamento da informação maregráfica, astronómica, meteorológica e oceanográfica apropriada, apoiado por informação científica e técnica disponível e confirmações de terreno.</w:t>
            </w:r>
          </w:p>
          <w:p w:rsidR="00F31235" w:rsidRPr="008B5227" w:rsidRDefault="00F31235" w:rsidP="00F31235">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Inclui os locais com indícios e ou registos de galgamentos durante episódios de temporal.</w:t>
            </w:r>
          </w:p>
          <w:p w:rsidR="00F31235" w:rsidRPr="008B5227" w:rsidRDefault="00F31235" w:rsidP="00F31235">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No litoral de LVT são suscetíveis de inundação por galgamento oceânico os litorais de vários concelhos do OVT, nomeadamente Alcobaça, Peniche, Lourinhã e Torres Vedras, e em todos os concelhos costeiros da AML, sendo particularmente graves e numerosos os galgamentos no concelho de Almada.</w:t>
            </w:r>
          </w:p>
          <w:p w:rsidR="00F93A13" w:rsidRPr="008B5227" w:rsidRDefault="00F31235" w:rsidP="00F31235">
            <w:pPr>
              <w:spacing w:after="0" w:line="240" w:lineRule="auto"/>
              <w:rPr>
                <w:rFonts w:asciiTheme="minorHAnsi" w:hAnsiTheme="minorHAnsi"/>
                <w:i/>
                <w:color w:val="833C0B" w:themeColor="accent2" w:themeShade="80"/>
                <w:sz w:val="20"/>
                <w:szCs w:val="20"/>
              </w:rPr>
            </w:pPr>
            <w:r w:rsidRPr="008B5227">
              <w:rPr>
                <w:rFonts w:asciiTheme="minorHAnsi" w:hAnsiTheme="minorHAnsi"/>
                <w:color w:val="833C0B" w:themeColor="accent2" w:themeShade="80"/>
                <w:sz w:val="20"/>
                <w:szCs w:val="20"/>
              </w:rPr>
              <w:t>As áreas identificadas no quadro regional da REN da AML e do OVT (com a aferição necessária), bem como eventuais áreas já identificadas pela APA devem integrar esta tipologia.</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5C2F1C" w:rsidRDefault="005C2F1C" w:rsidP="00422172">
            <w:pPr>
              <w:spacing w:after="0" w:line="240" w:lineRule="auto"/>
              <w:rPr>
                <w:rFonts w:asciiTheme="minorHAnsi" w:hAnsiTheme="minorHAnsi"/>
                <w:color w:val="C45911" w:themeColor="accent2" w:themeShade="BF"/>
                <w:sz w:val="20"/>
                <w:szCs w:val="20"/>
              </w:rPr>
            </w:pPr>
            <w:r w:rsidRPr="0053774B">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áginas 71 a 74.</w:t>
            </w:r>
          </w:p>
          <w:p w:rsidR="00422172" w:rsidRDefault="005C2F1C" w:rsidP="00422172">
            <w:pPr>
              <w:spacing w:after="0" w:line="240" w:lineRule="auto"/>
              <w:rPr>
                <w:rFonts w:asciiTheme="minorHAnsi" w:hAnsiTheme="minorHAnsi"/>
                <w:color w:val="C45911" w:themeColor="accent2" w:themeShade="BF"/>
                <w:sz w:val="20"/>
                <w:szCs w:val="20"/>
              </w:rPr>
            </w:pPr>
            <w:r w:rsidRPr="00903638">
              <w:rPr>
                <w:rFonts w:asciiTheme="minorHAnsi" w:hAnsiTheme="minorHAnsi"/>
                <w:color w:val="C45911" w:themeColor="accent2" w:themeShade="BF"/>
                <w:sz w:val="20"/>
                <w:szCs w:val="20"/>
              </w:rPr>
              <w:t xml:space="preserve">o </w:t>
            </w:r>
            <w:r w:rsidR="00903638" w:rsidRPr="00903638">
              <w:rPr>
                <w:rFonts w:asciiTheme="minorHAnsi" w:hAnsiTheme="minorHAnsi"/>
                <w:color w:val="C45911" w:themeColor="accent2" w:themeShade="BF"/>
                <w:sz w:val="20"/>
                <w:szCs w:val="20"/>
              </w:rPr>
              <w:t xml:space="preserve">litoral algarvio as inundações por galgamento oceânico ocorrem pontualmente em toda a costa Sul da região, designadamente no setor litoral de Forte Novo/Quarteira, praia dos Pescadores/lagoa dos Salgados (Armação de </w:t>
            </w:r>
            <w:proofErr w:type="spellStart"/>
            <w:r w:rsidR="00903638" w:rsidRPr="00903638">
              <w:rPr>
                <w:rFonts w:asciiTheme="minorHAnsi" w:hAnsiTheme="minorHAnsi"/>
                <w:color w:val="C45911" w:themeColor="accent2" w:themeShade="BF"/>
                <w:sz w:val="20"/>
                <w:szCs w:val="20"/>
              </w:rPr>
              <w:t>Pêra</w:t>
            </w:r>
            <w:proofErr w:type="spellEnd"/>
            <w:r w:rsidR="00903638" w:rsidRPr="00903638">
              <w:rPr>
                <w:rFonts w:asciiTheme="minorHAnsi" w:hAnsiTheme="minorHAnsi"/>
                <w:color w:val="C45911" w:themeColor="accent2" w:themeShade="BF"/>
                <w:sz w:val="20"/>
                <w:szCs w:val="20"/>
              </w:rPr>
              <w:t>) e Vau (Portimão) e com maior frequência e intensidade no setor do cordão dunar da Ria Formosa.</w:t>
            </w:r>
          </w:p>
          <w:p w:rsidR="00903638" w:rsidRPr="00903638" w:rsidRDefault="00903638" w:rsidP="00422172">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4"/>
              </w:numPr>
              <w:spacing w:after="0" w:line="240" w:lineRule="auto"/>
              <w:ind w:left="313"/>
              <w:rPr>
                <w:rFonts w:asciiTheme="minorHAnsi" w:hAnsiTheme="minorHAnsi"/>
                <w:sz w:val="20"/>
                <w:szCs w:val="20"/>
              </w:rPr>
            </w:pPr>
            <w:r w:rsidRPr="00C138AF">
              <w:rPr>
                <w:rFonts w:asciiTheme="minorHAnsi" w:hAnsiTheme="minorHAnsi"/>
                <w:sz w:val="20"/>
                <w:szCs w:val="20"/>
              </w:rPr>
              <w:t>Zonas ameaçadas pelas cheias</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C80CB1" w:rsidRPr="00D6708D" w:rsidRDefault="00C80CB1" w:rsidP="00C80CB1">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Pelo menos até à transposição para a ordem jurídica nacional da Diretiva 2007/60/CE do Parlamento</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Europeu e do Conselho, de 23 de outubro, relativa à avaliação da gestão dos riscos de inundações,</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considera-se o seguinte:</w:t>
            </w:r>
          </w:p>
          <w:p w:rsidR="00C80CB1" w:rsidRPr="00D6708D" w:rsidRDefault="00C80CB1" w:rsidP="00C80CB1">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Em situações de risco, nomeadamente nos perímetros urbanos, nos aglomerados rurais e nas áreas de</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implantação de atividades económicas, a delimitação da zona ameaçada pelas cheias deverá ser sempre</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apoiada em estudo hidrológico referente à bacia hidrográfica e hidráulico a realizar para os troços de</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linha de águas associados a esse risco;</w:t>
            </w:r>
          </w:p>
          <w:p w:rsidR="00C80CB1" w:rsidRPr="00D6708D" w:rsidRDefault="00C80CB1" w:rsidP="00C80CB1">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Nas áreas onde não se perspetive a existência de risco, a delimitação destas áreas, pode resultar apenas</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da representação da cota de maior cheia conhecida, determinada a partir de marcas de cheia, registos</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vários e dados cartográficos disponíveis e/ou aplicação de critérios geomorfológicos (nomeadamente a</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existência de depósitos aluvionares modernos) pedológicos e topográficos.</w:t>
            </w:r>
          </w:p>
          <w:p w:rsidR="00C80CB1" w:rsidRPr="00D6708D" w:rsidRDefault="00C80CB1" w:rsidP="00C80CB1">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A determinação das áreas ameaçadas pelas cheias, associadas a um período de retorno de 100 anos,</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 xml:space="preserve">implica a elaboração de vários </w:t>
            </w:r>
            <w:r w:rsidRPr="00D6708D">
              <w:rPr>
                <w:rFonts w:asciiTheme="minorHAnsi" w:hAnsiTheme="minorHAnsi"/>
                <w:color w:val="2E74B5" w:themeColor="accent1" w:themeShade="BF"/>
                <w:sz w:val="20"/>
                <w:szCs w:val="20"/>
              </w:rPr>
              <w:lastRenderedPageBreak/>
              <w:t>estudos, consoante a especificidade do objetivo em questão ou por</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especificidade da própria bacia hidrográfica. Estes estudos podem ser estudos hidrológicos e hidráulicos,</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estudo geomorfológicos ou, ainda, pela aplicação de procedimentos hidrológicos expeditos em caso de</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bacias hidrográficas sem monitorização suficiente e/ou de bacias hidrográficas com áreas entre os 10 km2</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e os 600 km2.</w:t>
            </w:r>
          </w:p>
          <w:p w:rsidR="00422172" w:rsidRPr="00D6708D" w:rsidRDefault="00C80CB1" w:rsidP="00D6708D">
            <w:pPr>
              <w:spacing w:after="0" w:line="240" w:lineRule="auto"/>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Os estudos hidrológicos e hidráulicos baseiam-se na execução de modelações hidráulicas de circulação de</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caudais em lâmina livre, para as quais se necessita de dois tipos principais de dados: dados hidrológicos</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de escoamento e dados geométricos relativos ao troço fluvial a modelar. Relativamente a cada método,</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refere-se o material e dados necessários e o processo para a sua aplicação. A cartografia de áreas</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ameaçadas pelas cheias (áreas inundáveis) obtida pelos cálculos e abordagens incluídas neste tipo de</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estudo, permite um rigor geográfico que reflete sensibilidade à artificialização e modificação do leito</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maior dos cursos de água, sendo por isso mais real, facto que permite igualmente a sua viabilidade como</w:t>
            </w:r>
            <w:r>
              <w:rPr>
                <w:rFonts w:asciiTheme="minorHAnsi" w:hAnsiTheme="minorHAnsi"/>
                <w:color w:val="2E74B5" w:themeColor="accent1" w:themeShade="BF"/>
                <w:sz w:val="20"/>
                <w:szCs w:val="20"/>
              </w:rPr>
              <w:t xml:space="preserve"> </w:t>
            </w:r>
            <w:r w:rsidRPr="00D6708D">
              <w:rPr>
                <w:rFonts w:asciiTheme="minorHAnsi" w:hAnsiTheme="minorHAnsi"/>
                <w:color w:val="2E74B5" w:themeColor="accent1" w:themeShade="BF"/>
                <w:sz w:val="20"/>
                <w:szCs w:val="20"/>
              </w:rPr>
              <w:t>condicionante às intervenções/decisões em ordenamento de território.</w:t>
            </w:r>
          </w:p>
        </w:tc>
        <w:tc>
          <w:tcPr>
            <w:tcW w:w="4110" w:type="dxa"/>
          </w:tcPr>
          <w:p w:rsidR="00DA213F" w:rsidRPr="008B5227" w:rsidRDefault="00DA213F" w:rsidP="00422172">
            <w:pPr>
              <w:spacing w:after="0" w:line="240" w:lineRule="auto"/>
              <w:rPr>
                <w:rFonts w:asciiTheme="minorHAnsi" w:hAnsiTheme="minorHAnsi"/>
                <w:i/>
                <w:color w:val="833C0B" w:themeColor="accent2" w:themeShade="80"/>
                <w:sz w:val="20"/>
                <w:szCs w:val="20"/>
              </w:rPr>
            </w:pPr>
            <w:r w:rsidRPr="008B5227">
              <w:rPr>
                <w:rFonts w:asciiTheme="minorHAnsi" w:hAnsiTheme="minorHAnsi"/>
                <w:i/>
                <w:color w:val="833C0B" w:themeColor="accent2" w:themeShade="80"/>
                <w:sz w:val="20"/>
                <w:szCs w:val="20"/>
              </w:rPr>
              <w:lastRenderedPageBreak/>
              <w:t>Guia metodológico para delimitação da Reserva Ecológica Nacional em Lisboa e Vale do Tejo – páginas 101 a 104.</w:t>
            </w:r>
          </w:p>
          <w:p w:rsidR="00786483" w:rsidRPr="008B5227" w:rsidRDefault="00786483" w:rsidP="00422172">
            <w:pPr>
              <w:spacing w:after="0" w:line="240" w:lineRule="auto"/>
              <w:rPr>
                <w:rFonts w:asciiTheme="minorHAnsi" w:hAnsiTheme="minorHAnsi"/>
                <w:i/>
                <w:color w:val="833C0B" w:themeColor="accent2" w:themeShade="80"/>
                <w:sz w:val="20"/>
                <w:szCs w:val="20"/>
              </w:rPr>
            </w:pPr>
          </w:p>
          <w:p w:rsidR="00F31235" w:rsidRPr="008B5227" w:rsidRDefault="00F31235" w:rsidP="00422172">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u w:val="single"/>
              </w:rPr>
              <w:t>Estudos hidrológicos</w:t>
            </w:r>
            <w:r w:rsidRPr="008B5227">
              <w:rPr>
                <w:rFonts w:asciiTheme="minorHAnsi" w:hAnsiTheme="minorHAnsi"/>
                <w:color w:val="833C0B" w:themeColor="accent2" w:themeShade="80"/>
                <w:sz w:val="20"/>
                <w:szCs w:val="20"/>
              </w:rPr>
              <w:t>:</w:t>
            </w:r>
          </w:p>
          <w:p w:rsidR="00F31235" w:rsidRPr="008B5227" w:rsidRDefault="00F31235" w:rsidP="00422172">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Os estudos hidrológicos consideram os dados e informações obtidos nas redes de monitorização de caráter nacional, geridas pelo Sistema Nacional de Informação de Recursos Hídricos (SNIRH) e pelo organismo competente em matéria de meteorologia. Para além destas duas origens, e caso seja relevante, podem utilizar-se dados de redes específicas, locais, regionais ou mesmo nacionais, operadas por outros organismos, instituições ou grupos de investigação.</w:t>
            </w:r>
          </w:p>
          <w:p w:rsidR="0089135C" w:rsidRPr="008B5227" w:rsidRDefault="0089135C" w:rsidP="00422172">
            <w:pPr>
              <w:spacing w:after="0" w:line="240" w:lineRule="auto"/>
              <w:rPr>
                <w:rFonts w:asciiTheme="minorHAnsi" w:hAnsiTheme="minorHAnsi"/>
                <w:color w:val="833C0B" w:themeColor="accent2" w:themeShade="80"/>
                <w:sz w:val="20"/>
                <w:szCs w:val="20"/>
                <w:u w:val="single"/>
              </w:rPr>
            </w:pPr>
            <w:r w:rsidRPr="008B5227">
              <w:rPr>
                <w:rFonts w:asciiTheme="minorHAnsi" w:hAnsiTheme="minorHAnsi"/>
                <w:color w:val="833C0B" w:themeColor="accent2" w:themeShade="80"/>
                <w:sz w:val="20"/>
                <w:szCs w:val="20"/>
                <w:u w:val="single"/>
              </w:rPr>
              <w:t>Estudo hidráulico:</w:t>
            </w:r>
          </w:p>
          <w:p w:rsidR="0089135C" w:rsidRPr="008B5227" w:rsidRDefault="0089135C" w:rsidP="0089135C">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Quando forem também conhecidos marcas ou registos de cheias para a área objeto de estudo hidrológico/hidráulico assume-se o valor de cota mais restritivo.</w:t>
            </w:r>
          </w:p>
          <w:p w:rsidR="0089135C" w:rsidRPr="008B5227" w:rsidRDefault="0089135C" w:rsidP="0089135C">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Não estão incluídas nesta tipologia as áreas suscetíveis de inundação motivada por outros fenómenos, como por exemplo tsunamis, rotura de barragens ou diques e fusão de neve ou gelo, nem as áreas atingidas por retenção de </w:t>
            </w:r>
            <w:r w:rsidRPr="008B5227">
              <w:rPr>
                <w:rFonts w:asciiTheme="minorHAnsi" w:hAnsiTheme="minorHAnsi"/>
                <w:color w:val="833C0B" w:themeColor="accent2" w:themeShade="80"/>
                <w:sz w:val="20"/>
                <w:szCs w:val="20"/>
              </w:rPr>
              <w:lastRenderedPageBreak/>
              <w:t>águas (quando a rede pluvial não comporta a chuvada).</w:t>
            </w:r>
          </w:p>
          <w:p w:rsidR="00F93A13" w:rsidRPr="008B5227" w:rsidRDefault="00F93A13" w:rsidP="0089135C">
            <w:pPr>
              <w:spacing w:after="0" w:line="240" w:lineRule="auto"/>
              <w:rPr>
                <w:rFonts w:asciiTheme="minorHAnsi" w:hAnsiTheme="minorHAnsi"/>
                <w:i/>
                <w:color w:val="833C0B" w:themeColor="accent2" w:themeShade="80"/>
                <w:sz w:val="20"/>
                <w:szCs w:val="20"/>
              </w:rPr>
            </w:pPr>
          </w:p>
        </w:tc>
        <w:tc>
          <w:tcPr>
            <w:tcW w:w="4110" w:type="dxa"/>
          </w:tcPr>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lastRenderedPageBreak/>
              <w:t xml:space="preserve">A delimitação destas zonas segue, sempre que possível, as indicações com carácter sugestivo das orientações estratégias e tem permitido também a aplicação de modelos e métodos mais adaptados às características regionais, como sejam, o modelo experimental SWAMP – </w:t>
            </w:r>
            <w:proofErr w:type="spellStart"/>
            <w:r w:rsidRPr="00B0028C">
              <w:rPr>
                <w:rFonts w:asciiTheme="minorHAnsi" w:hAnsiTheme="minorHAnsi"/>
                <w:i/>
                <w:color w:val="BF8F00" w:themeColor="accent4" w:themeShade="BF"/>
                <w:sz w:val="20"/>
                <w:szCs w:val="20"/>
              </w:rPr>
              <w:t>Structural</w:t>
            </w:r>
            <w:proofErr w:type="spellEnd"/>
            <w:r w:rsidRPr="00B0028C">
              <w:rPr>
                <w:rFonts w:asciiTheme="minorHAnsi" w:hAnsiTheme="minorHAnsi"/>
                <w:i/>
                <w:color w:val="BF8F00" w:themeColor="accent4" w:themeShade="BF"/>
                <w:sz w:val="20"/>
                <w:szCs w:val="20"/>
              </w:rPr>
              <w:t xml:space="preserve"> </w:t>
            </w:r>
            <w:proofErr w:type="spellStart"/>
            <w:r w:rsidRPr="00B0028C">
              <w:rPr>
                <w:rFonts w:asciiTheme="minorHAnsi" w:hAnsiTheme="minorHAnsi"/>
                <w:i/>
                <w:color w:val="BF8F00" w:themeColor="accent4" w:themeShade="BF"/>
                <w:sz w:val="20"/>
                <w:szCs w:val="20"/>
              </w:rPr>
              <w:t>Water</w:t>
            </w:r>
            <w:proofErr w:type="spellEnd"/>
            <w:r w:rsidRPr="00B0028C">
              <w:rPr>
                <w:rFonts w:asciiTheme="minorHAnsi" w:hAnsiTheme="minorHAnsi"/>
                <w:i/>
                <w:color w:val="BF8F00" w:themeColor="accent4" w:themeShade="BF"/>
                <w:sz w:val="20"/>
                <w:szCs w:val="20"/>
              </w:rPr>
              <w:t xml:space="preserve"> </w:t>
            </w:r>
            <w:proofErr w:type="spellStart"/>
            <w:r w:rsidRPr="00B0028C">
              <w:rPr>
                <w:rFonts w:asciiTheme="minorHAnsi" w:hAnsiTheme="minorHAnsi"/>
                <w:i/>
                <w:color w:val="BF8F00" w:themeColor="accent4" w:themeShade="BF"/>
                <w:sz w:val="20"/>
                <w:szCs w:val="20"/>
              </w:rPr>
              <w:t>Accumulation</w:t>
            </w:r>
            <w:proofErr w:type="spellEnd"/>
            <w:r w:rsidRPr="00B0028C">
              <w:rPr>
                <w:rFonts w:asciiTheme="minorHAnsi" w:hAnsiTheme="minorHAnsi"/>
                <w:i/>
                <w:color w:val="BF8F00" w:themeColor="accent4" w:themeShade="BF"/>
                <w:sz w:val="20"/>
                <w:szCs w:val="20"/>
              </w:rPr>
              <w:t xml:space="preserve"> </w:t>
            </w:r>
            <w:proofErr w:type="spellStart"/>
            <w:r w:rsidRPr="00B0028C">
              <w:rPr>
                <w:rFonts w:asciiTheme="minorHAnsi" w:hAnsiTheme="minorHAnsi"/>
                <w:i/>
                <w:color w:val="BF8F00" w:themeColor="accent4" w:themeShade="BF"/>
                <w:sz w:val="20"/>
                <w:szCs w:val="20"/>
              </w:rPr>
              <w:t>Modelling</w:t>
            </w:r>
            <w:proofErr w:type="spellEnd"/>
            <w:r w:rsidRPr="00B0028C">
              <w:rPr>
                <w:rFonts w:asciiTheme="minorHAnsi" w:hAnsiTheme="minorHAnsi"/>
                <w:i/>
                <w:color w:val="BF8F00" w:themeColor="accent4" w:themeShade="BF"/>
                <w:sz w:val="20"/>
                <w:szCs w:val="20"/>
              </w:rPr>
              <w:t xml:space="preserve"> </w:t>
            </w:r>
            <w:proofErr w:type="spellStart"/>
            <w:r w:rsidRPr="00B0028C">
              <w:rPr>
                <w:rFonts w:asciiTheme="minorHAnsi" w:hAnsiTheme="minorHAnsi"/>
                <w:i/>
                <w:color w:val="BF8F00" w:themeColor="accent4" w:themeShade="BF"/>
                <w:sz w:val="20"/>
                <w:szCs w:val="20"/>
              </w:rPr>
              <w:t>Prediction</w:t>
            </w:r>
            <w:proofErr w:type="spellEnd"/>
            <w:r w:rsidRPr="00C138AF">
              <w:rPr>
                <w:rFonts w:asciiTheme="minorHAnsi" w:hAnsiTheme="minorHAnsi"/>
                <w:color w:val="BF8F00" w:themeColor="accent4" w:themeShade="BF"/>
                <w:sz w:val="20"/>
                <w:szCs w:val="20"/>
              </w:rPr>
              <w:t xml:space="preserve"> (Universidade de Évora) e o método hidráulico-hidrológico, recorrendo para o efeito a uma modelação matemática (hidráulica) das cheias em ambiente SIG, tendo por base a fórmula de LOUREIRO, J. M. (1984) para o cálculo dos caudais de ponta com período de retorno de 100 anos e o histórico-hidro-geomorfológico, que assenta no reconhecimento no campo de áreas suscetíveis a cheias e inundações através de critérios geomorfológicos, e na identificação de locais afetados por ocorrências históricas.</w:t>
            </w: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Os outros 2 critérios a aplicar na ausência de estudos hidrológicos:</w:t>
            </w: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Critério B1. “Maior cheia conhecida” – resulta da espacialização dos registos de cheias indicadas cartograficamente pela proteção civil e fornecida pela Câmara Municipal.</w:t>
            </w: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 xml:space="preserve">Critério B2. “Critérios geomorfológicos e </w:t>
            </w:r>
            <w:r w:rsidRPr="00C138AF">
              <w:rPr>
                <w:rFonts w:asciiTheme="minorHAnsi" w:hAnsiTheme="minorHAnsi"/>
                <w:color w:val="BF8F00" w:themeColor="accent4" w:themeShade="BF"/>
                <w:sz w:val="20"/>
                <w:szCs w:val="20"/>
              </w:rPr>
              <w:lastRenderedPageBreak/>
              <w:t xml:space="preserve">pedológicos” – resulta da identificação dos </w:t>
            </w:r>
            <w:proofErr w:type="spellStart"/>
            <w:r w:rsidRPr="00C138AF">
              <w:rPr>
                <w:rFonts w:asciiTheme="minorHAnsi" w:hAnsiTheme="minorHAnsi"/>
                <w:color w:val="BF8F00" w:themeColor="accent4" w:themeShade="BF"/>
                <w:sz w:val="20"/>
                <w:szCs w:val="20"/>
              </w:rPr>
              <w:t>Aluviossolos</w:t>
            </w:r>
            <w:proofErr w:type="spellEnd"/>
            <w:r w:rsidRPr="00C138AF">
              <w:rPr>
                <w:rFonts w:asciiTheme="minorHAnsi" w:hAnsiTheme="minorHAnsi"/>
                <w:color w:val="BF8F00" w:themeColor="accent4" w:themeShade="BF"/>
                <w:sz w:val="20"/>
                <w:szCs w:val="20"/>
              </w:rPr>
              <w:t xml:space="preserve"> Modernos a partir da Carta de Solos.</w:t>
            </w:r>
          </w:p>
        </w:tc>
        <w:tc>
          <w:tcPr>
            <w:tcW w:w="4110" w:type="dxa"/>
          </w:tcPr>
          <w:p w:rsidR="005C2F1C" w:rsidRDefault="005C2F1C" w:rsidP="00903638">
            <w:pPr>
              <w:spacing w:after="0" w:line="240" w:lineRule="auto"/>
              <w:rPr>
                <w:rFonts w:asciiTheme="minorHAnsi" w:hAnsiTheme="minorHAnsi"/>
                <w:i/>
                <w:color w:val="C45911" w:themeColor="accent2" w:themeShade="BF"/>
                <w:sz w:val="20"/>
                <w:szCs w:val="20"/>
              </w:rPr>
            </w:pPr>
            <w:r w:rsidRPr="0053774B">
              <w:rPr>
                <w:rFonts w:asciiTheme="minorHAnsi" w:hAnsiTheme="minorHAnsi"/>
                <w:i/>
                <w:color w:val="C45911" w:themeColor="accent2" w:themeShade="BF"/>
                <w:sz w:val="20"/>
                <w:szCs w:val="20"/>
              </w:rPr>
              <w:lastRenderedPageBreak/>
              <w:t>Guia Metodológico de Delimitação/Alteração da Delimitação da REN, da CCDR Algarve – p</w:t>
            </w:r>
            <w:r>
              <w:rPr>
                <w:rFonts w:asciiTheme="minorHAnsi" w:hAnsiTheme="minorHAnsi"/>
                <w:i/>
                <w:color w:val="C45911" w:themeColor="accent2" w:themeShade="BF"/>
                <w:sz w:val="20"/>
                <w:szCs w:val="20"/>
              </w:rPr>
              <w:t>áginas 75 a 79.</w:t>
            </w:r>
          </w:p>
          <w:p w:rsidR="00903638" w:rsidRPr="00903638" w:rsidRDefault="00903638" w:rsidP="00903638">
            <w:pPr>
              <w:spacing w:after="0" w:line="240" w:lineRule="auto"/>
              <w:rPr>
                <w:rFonts w:asciiTheme="minorHAnsi" w:hAnsiTheme="minorHAnsi"/>
                <w:color w:val="C45911" w:themeColor="accent2" w:themeShade="BF"/>
                <w:sz w:val="20"/>
                <w:szCs w:val="20"/>
              </w:rPr>
            </w:pPr>
            <w:r w:rsidRPr="00903638">
              <w:rPr>
                <w:rFonts w:asciiTheme="minorHAnsi" w:hAnsiTheme="minorHAnsi"/>
                <w:color w:val="C45911" w:themeColor="accent2" w:themeShade="BF"/>
                <w:sz w:val="20"/>
                <w:szCs w:val="20"/>
              </w:rPr>
              <w:t>Como resulta das orientações nacionais, a delimitação destas áreas de risco poderá resultar da utilização de estudos Hidrológicos/Hidráulicos, de registos históricos da maior cheia conhecida, ou de fatores geomorfológicos e topográficos.</w:t>
            </w:r>
          </w:p>
          <w:p w:rsidR="00903638" w:rsidRPr="00903638" w:rsidRDefault="00903638" w:rsidP="00903638">
            <w:pPr>
              <w:spacing w:after="0" w:line="240" w:lineRule="auto"/>
              <w:rPr>
                <w:rFonts w:asciiTheme="minorHAnsi" w:hAnsiTheme="minorHAnsi"/>
                <w:color w:val="C45911" w:themeColor="accent2" w:themeShade="BF"/>
                <w:sz w:val="20"/>
                <w:szCs w:val="20"/>
              </w:rPr>
            </w:pPr>
            <w:r w:rsidRPr="00903638">
              <w:rPr>
                <w:rFonts w:asciiTheme="minorHAnsi" w:hAnsiTheme="minorHAnsi"/>
                <w:color w:val="C45911" w:themeColor="accent2" w:themeShade="BF"/>
                <w:sz w:val="20"/>
                <w:szCs w:val="20"/>
              </w:rPr>
              <w:t xml:space="preserve">Consideram-se como áreas preferenciais de diagnóstico os sectores intermédios e terminais das principais bacias hidrográficas da região algarvia, onde os efeitos conjugados das condições fisiográficas e </w:t>
            </w:r>
            <w:proofErr w:type="spellStart"/>
            <w:r w:rsidRPr="00903638">
              <w:rPr>
                <w:rFonts w:asciiTheme="minorHAnsi" w:hAnsiTheme="minorHAnsi"/>
                <w:color w:val="C45911" w:themeColor="accent2" w:themeShade="BF"/>
                <w:sz w:val="20"/>
                <w:szCs w:val="20"/>
              </w:rPr>
              <w:t>hidromorfológicas</w:t>
            </w:r>
            <w:proofErr w:type="spellEnd"/>
            <w:r w:rsidRPr="00903638">
              <w:rPr>
                <w:rFonts w:asciiTheme="minorHAnsi" w:hAnsiTheme="minorHAnsi"/>
                <w:color w:val="C45911" w:themeColor="accent2" w:themeShade="BF"/>
                <w:sz w:val="20"/>
                <w:szCs w:val="20"/>
              </w:rPr>
              <w:t xml:space="preserve"> com o regime pluviométrico de regime torrencial, característico da região, potenciam a ocorrência de cheias.</w:t>
            </w:r>
          </w:p>
          <w:p w:rsidR="00903638" w:rsidRPr="00903638" w:rsidRDefault="00903638" w:rsidP="00903638">
            <w:pPr>
              <w:spacing w:after="0" w:line="240" w:lineRule="auto"/>
              <w:rPr>
                <w:rFonts w:asciiTheme="minorHAnsi" w:hAnsiTheme="minorHAnsi"/>
                <w:color w:val="C45911" w:themeColor="accent2" w:themeShade="BF"/>
                <w:sz w:val="20"/>
                <w:szCs w:val="20"/>
              </w:rPr>
            </w:pPr>
            <w:r w:rsidRPr="00903638">
              <w:rPr>
                <w:rFonts w:asciiTheme="minorHAnsi" w:hAnsiTheme="minorHAnsi"/>
                <w:color w:val="C45911" w:themeColor="accent2" w:themeShade="BF"/>
                <w:sz w:val="20"/>
                <w:szCs w:val="20"/>
              </w:rPr>
              <w:t>Integram-se na mesma tipologia de risco as áreas sujeitas a inundações, com origem em causas que não o transbordo de cursos de água, resultando da acumulação de água em locais deprimidos e/ou pouco permeáveis (em que se verifica uma subida da toalha freática em resposta a episódios de precipitação) ou do efeito de situações de “transgressão marinha” momentânea.</w:t>
            </w:r>
          </w:p>
          <w:p w:rsidR="00422172" w:rsidRDefault="00903638" w:rsidP="00903638">
            <w:pPr>
              <w:spacing w:after="0" w:line="240" w:lineRule="auto"/>
              <w:rPr>
                <w:rFonts w:asciiTheme="minorHAnsi" w:hAnsiTheme="minorHAnsi"/>
                <w:color w:val="C45911" w:themeColor="accent2" w:themeShade="BF"/>
                <w:sz w:val="20"/>
                <w:szCs w:val="20"/>
              </w:rPr>
            </w:pPr>
            <w:r w:rsidRPr="00903638">
              <w:rPr>
                <w:rFonts w:asciiTheme="minorHAnsi" w:hAnsiTheme="minorHAnsi"/>
                <w:color w:val="C45911" w:themeColor="accent2" w:themeShade="BF"/>
                <w:sz w:val="20"/>
                <w:szCs w:val="20"/>
              </w:rPr>
              <w:lastRenderedPageBreak/>
              <w:t xml:space="preserve">As zonas ameaçadas pelas cheias estão associadas, maioritariamente, às bacias hidrográficas dos rios Arade, Gilão e Guadiana e das ribeiras de Aljezur, Vale Barão, Bensafrim, Odiáxere, Alcantarilha, Quarteira e </w:t>
            </w:r>
            <w:proofErr w:type="spellStart"/>
            <w:r w:rsidRPr="00903638">
              <w:rPr>
                <w:rFonts w:asciiTheme="minorHAnsi" w:hAnsiTheme="minorHAnsi"/>
                <w:color w:val="C45911" w:themeColor="accent2" w:themeShade="BF"/>
                <w:sz w:val="20"/>
                <w:szCs w:val="20"/>
              </w:rPr>
              <w:t>Marchil</w:t>
            </w:r>
            <w:proofErr w:type="spellEnd"/>
            <w:r w:rsidRPr="00903638">
              <w:rPr>
                <w:rFonts w:asciiTheme="minorHAnsi" w:hAnsiTheme="minorHAnsi"/>
                <w:color w:val="C45911" w:themeColor="accent2" w:themeShade="BF"/>
                <w:sz w:val="20"/>
                <w:szCs w:val="20"/>
              </w:rPr>
              <w:t>.</w:t>
            </w:r>
          </w:p>
          <w:p w:rsidR="00903638" w:rsidRPr="00903638" w:rsidRDefault="00903638" w:rsidP="00903638">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4"/>
              </w:numPr>
              <w:spacing w:after="0" w:line="240" w:lineRule="auto"/>
              <w:ind w:left="313"/>
              <w:rPr>
                <w:rFonts w:asciiTheme="minorHAnsi" w:hAnsiTheme="minorHAnsi"/>
                <w:sz w:val="20"/>
                <w:szCs w:val="20"/>
              </w:rPr>
            </w:pPr>
            <w:r w:rsidRPr="00C138AF">
              <w:rPr>
                <w:rFonts w:asciiTheme="minorHAnsi" w:hAnsiTheme="minorHAnsi"/>
                <w:sz w:val="20"/>
                <w:szCs w:val="20"/>
              </w:rPr>
              <w:lastRenderedPageBreak/>
              <w:t>Áreas de elevado risco de erosão hídrica do solo (AEREHS)</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057BB5" w:rsidRDefault="00057BB5" w:rsidP="00D6708D">
            <w:pPr>
              <w:spacing w:after="0" w:line="240" w:lineRule="auto"/>
              <w:rPr>
                <w:rFonts w:asciiTheme="minorHAnsi" w:hAnsiTheme="minorHAnsi"/>
                <w:b/>
                <w:color w:val="2E74B5" w:themeColor="accent1" w:themeShade="BF"/>
                <w:sz w:val="20"/>
                <w:szCs w:val="20"/>
              </w:rPr>
            </w:pPr>
          </w:p>
          <w:p w:rsidR="00057BB5" w:rsidRDefault="00057BB5" w:rsidP="00D6708D">
            <w:pPr>
              <w:spacing w:after="0" w:line="240" w:lineRule="auto"/>
              <w:rPr>
                <w:rFonts w:asciiTheme="minorHAnsi" w:hAnsiTheme="minorHAnsi"/>
                <w:b/>
                <w:color w:val="2E74B5" w:themeColor="accent1" w:themeShade="BF"/>
                <w:sz w:val="20"/>
                <w:szCs w:val="20"/>
              </w:rPr>
            </w:pPr>
          </w:p>
          <w:p w:rsidR="00057BB5" w:rsidRDefault="00057BB5" w:rsidP="00D6708D">
            <w:pPr>
              <w:spacing w:after="0" w:line="240" w:lineRule="auto"/>
              <w:rPr>
                <w:rFonts w:asciiTheme="minorHAnsi" w:hAnsiTheme="minorHAnsi"/>
                <w:b/>
                <w:color w:val="2E74B5" w:themeColor="accent1" w:themeShade="BF"/>
                <w:sz w:val="20"/>
                <w:szCs w:val="20"/>
              </w:rPr>
            </w:pPr>
          </w:p>
          <w:p w:rsidR="00057BB5" w:rsidRDefault="00057BB5" w:rsidP="00D6708D">
            <w:pPr>
              <w:spacing w:after="0" w:line="240" w:lineRule="auto"/>
              <w:rPr>
                <w:rFonts w:asciiTheme="minorHAnsi" w:hAnsiTheme="minorHAnsi"/>
                <w:b/>
                <w:color w:val="2E74B5" w:themeColor="accent1" w:themeShade="BF"/>
                <w:sz w:val="20"/>
                <w:szCs w:val="20"/>
              </w:rPr>
            </w:pPr>
          </w:p>
          <w:p w:rsidR="00057BB5" w:rsidRPr="00290FF3" w:rsidRDefault="00851798" w:rsidP="00D6708D">
            <w:pPr>
              <w:spacing w:after="0" w:line="240" w:lineRule="auto"/>
              <w:rPr>
                <w:rFonts w:asciiTheme="minorHAnsi" w:hAnsiTheme="minorHAnsi"/>
                <w:b/>
                <w:color w:val="2E74B5" w:themeColor="accent1" w:themeShade="BF"/>
                <w:sz w:val="20"/>
                <w:szCs w:val="20"/>
              </w:rPr>
            </w:pPr>
            <w:r w:rsidRPr="00290FF3">
              <w:rPr>
                <w:rFonts w:asciiTheme="minorHAnsi" w:hAnsiTheme="minorHAnsi"/>
                <w:b/>
                <w:color w:val="2E74B5" w:themeColor="accent1" w:themeShade="BF"/>
                <w:sz w:val="20"/>
                <w:szCs w:val="20"/>
              </w:rPr>
              <w:t>Erosão Específica do Solo (A)</w:t>
            </w:r>
          </w:p>
          <w:p w:rsidR="005E5E64" w:rsidRPr="00290FF3" w:rsidRDefault="005E5E64" w:rsidP="00D6708D">
            <w:pPr>
              <w:pStyle w:val="PargrafodaLista"/>
              <w:numPr>
                <w:ilvl w:val="0"/>
                <w:numId w:val="17"/>
              </w:numPr>
              <w:spacing w:after="0" w:line="240" w:lineRule="auto"/>
              <w:rPr>
                <w:rFonts w:asciiTheme="minorHAnsi" w:hAnsiTheme="minorHAnsi"/>
                <w:b/>
                <w:color w:val="2E74B5" w:themeColor="accent1" w:themeShade="BF"/>
                <w:sz w:val="20"/>
                <w:szCs w:val="20"/>
              </w:rPr>
            </w:pPr>
            <w:r w:rsidRPr="00290FF3">
              <w:rPr>
                <w:rFonts w:asciiTheme="minorHAnsi" w:hAnsiTheme="minorHAnsi"/>
                <w:b/>
                <w:color w:val="2E74B5" w:themeColor="accent1" w:themeShade="BF"/>
                <w:sz w:val="20"/>
                <w:szCs w:val="20"/>
              </w:rPr>
              <w:t>Erosividade da Precipitação - R</w:t>
            </w:r>
          </w:p>
          <w:p w:rsidR="00E90857" w:rsidRDefault="00057BB5" w:rsidP="00D6708D">
            <w:pPr>
              <w:spacing w:after="0" w:line="240" w:lineRule="auto"/>
              <w:rPr>
                <w:rFonts w:asciiTheme="minorHAnsi" w:hAnsiTheme="minorHAnsi"/>
                <w:color w:val="2E74B5" w:themeColor="accent1" w:themeShade="BF"/>
                <w:sz w:val="20"/>
                <w:szCs w:val="20"/>
              </w:rPr>
            </w:pPr>
            <w:r>
              <w:rPr>
                <w:rFonts w:asciiTheme="minorHAnsi" w:hAnsiTheme="minorHAnsi"/>
                <w:color w:val="2E74B5" w:themeColor="accent1" w:themeShade="BF"/>
                <w:sz w:val="20"/>
                <w:szCs w:val="20"/>
              </w:rPr>
              <w:t>C</w:t>
            </w:r>
            <w:r w:rsidR="005E5E64" w:rsidRPr="005E5E64">
              <w:rPr>
                <w:rFonts w:asciiTheme="minorHAnsi" w:hAnsiTheme="minorHAnsi"/>
                <w:color w:val="2E74B5" w:themeColor="accent1" w:themeShade="BF"/>
                <w:sz w:val="20"/>
                <w:szCs w:val="20"/>
              </w:rPr>
              <w:t>onsiderou-se o mapa da Erosividade de Precipitação, resultante das estimativas</w:t>
            </w:r>
            <w:r w:rsidR="005E5E64">
              <w:rPr>
                <w:rFonts w:asciiTheme="minorHAnsi" w:hAnsiTheme="minorHAnsi"/>
                <w:color w:val="2E74B5" w:themeColor="accent1" w:themeShade="BF"/>
                <w:sz w:val="20"/>
                <w:szCs w:val="20"/>
              </w:rPr>
              <w:t xml:space="preserve"> </w:t>
            </w:r>
            <w:r w:rsidR="005E5E64" w:rsidRPr="005E5E64">
              <w:rPr>
                <w:rFonts w:asciiTheme="minorHAnsi" w:hAnsiTheme="minorHAnsi"/>
                <w:color w:val="2E74B5" w:themeColor="accent1" w:themeShade="BF"/>
                <w:sz w:val="20"/>
                <w:szCs w:val="20"/>
              </w:rPr>
              <w:t xml:space="preserve">elaboradas pelo </w:t>
            </w:r>
            <w:proofErr w:type="spellStart"/>
            <w:r w:rsidR="005E5E64" w:rsidRPr="005E5E64">
              <w:rPr>
                <w:rFonts w:asciiTheme="minorHAnsi" w:hAnsiTheme="minorHAnsi"/>
                <w:color w:val="2E74B5" w:themeColor="accent1" w:themeShade="BF"/>
                <w:sz w:val="20"/>
                <w:szCs w:val="20"/>
              </w:rPr>
              <w:t>ex-INAG</w:t>
            </w:r>
            <w:proofErr w:type="spellEnd"/>
            <w:r w:rsidR="005E5E64" w:rsidRPr="005E5E64">
              <w:rPr>
                <w:rFonts w:asciiTheme="minorHAnsi" w:hAnsiTheme="minorHAnsi"/>
                <w:color w:val="2E74B5" w:themeColor="accent1" w:themeShade="BF"/>
                <w:sz w:val="20"/>
                <w:szCs w:val="20"/>
              </w:rPr>
              <w:t xml:space="preserve"> (atualmente pela APA), considerando</w:t>
            </w:r>
            <w:r w:rsidR="005E5E64">
              <w:rPr>
                <w:rFonts w:asciiTheme="minorHAnsi" w:hAnsiTheme="minorHAnsi"/>
                <w:color w:val="2E74B5" w:themeColor="accent1" w:themeShade="BF"/>
                <w:sz w:val="20"/>
                <w:szCs w:val="20"/>
              </w:rPr>
              <w:t xml:space="preserve"> </w:t>
            </w:r>
            <w:r w:rsidR="005E5E64" w:rsidRPr="005E5E64">
              <w:rPr>
                <w:rFonts w:asciiTheme="minorHAnsi" w:hAnsiTheme="minorHAnsi"/>
                <w:color w:val="2E74B5" w:themeColor="accent1" w:themeShade="BF"/>
                <w:sz w:val="20"/>
                <w:szCs w:val="20"/>
              </w:rPr>
              <w:t>eventos com precipitação total superior a 50,8 mm ponderados para as bacias hidrográficas.</w:t>
            </w:r>
          </w:p>
          <w:p w:rsidR="00E90857" w:rsidRDefault="00E90857" w:rsidP="00D6708D">
            <w:pPr>
              <w:spacing w:after="0" w:line="240" w:lineRule="auto"/>
              <w:rPr>
                <w:rFonts w:asciiTheme="minorHAnsi" w:hAnsiTheme="minorHAnsi"/>
                <w:color w:val="2E74B5" w:themeColor="accent1" w:themeShade="BF"/>
                <w:sz w:val="20"/>
                <w:szCs w:val="20"/>
              </w:rPr>
            </w:pPr>
          </w:p>
          <w:p w:rsidR="00E90857" w:rsidRDefault="00E90857" w:rsidP="00D6708D">
            <w:pPr>
              <w:spacing w:after="0" w:line="240" w:lineRule="auto"/>
              <w:rPr>
                <w:rFonts w:asciiTheme="minorHAnsi" w:hAnsiTheme="minorHAnsi"/>
                <w:color w:val="2E74B5" w:themeColor="accent1" w:themeShade="BF"/>
                <w:sz w:val="20"/>
                <w:szCs w:val="20"/>
              </w:rPr>
            </w:pPr>
          </w:p>
          <w:p w:rsidR="005E5E64" w:rsidRDefault="005E5E64" w:rsidP="00D6708D">
            <w:pPr>
              <w:spacing w:after="0" w:line="240" w:lineRule="auto"/>
              <w:rPr>
                <w:rFonts w:asciiTheme="minorHAnsi" w:hAnsiTheme="minorHAnsi"/>
                <w:color w:val="2E74B5" w:themeColor="accent1" w:themeShade="BF"/>
                <w:sz w:val="20"/>
                <w:szCs w:val="20"/>
              </w:rPr>
            </w:pPr>
          </w:p>
          <w:p w:rsidR="005E5E64" w:rsidRPr="00290FF3" w:rsidRDefault="005E5E64" w:rsidP="00D6708D">
            <w:pPr>
              <w:pStyle w:val="PargrafodaLista"/>
              <w:numPr>
                <w:ilvl w:val="0"/>
                <w:numId w:val="17"/>
              </w:numPr>
              <w:spacing w:after="0" w:line="240" w:lineRule="auto"/>
              <w:rPr>
                <w:rFonts w:asciiTheme="minorHAnsi" w:hAnsiTheme="minorHAnsi"/>
                <w:b/>
                <w:color w:val="2E74B5" w:themeColor="accent1" w:themeShade="BF"/>
                <w:sz w:val="20"/>
                <w:szCs w:val="20"/>
              </w:rPr>
            </w:pPr>
            <w:r w:rsidRPr="00290FF3">
              <w:rPr>
                <w:rFonts w:asciiTheme="minorHAnsi" w:hAnsiTheme="minorHAnsi"/>
                <w:b/>
                <w:color w:val="2E74B5" w:themeColor="accent1" w:themeShade="BF"/>
                <w:sz w:val="20"/>
                <w:szCs w:val="20"/>
              </w:rPr>
              <w:t>Erodibilidade do Solo - K</w:t>
            </w:r>
          </w:p>
          <w:p w:rsidR="005E5E64" w:rsidRDefault="005E5E64" w:rsidP="00D6708D">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Para</w:t>
            </w:r>
            <w:r>
              <w:rPr>
                <w:rFonts w:asciiTheme="minorHAnsi" w:hAnsiTheme="minorHAnsi"/>
                <w:color w:val="2E74B5" w:themeColor="accent1" w:themeShade="BF"/>
                <w:sz w:val="20"/>
                <w:szCs w:val="20"/>
              </w:rPr>
              <w:t xml:space="preserve"> </w:t>
            </w:r>
            <w:r w:rsidRPr="005E5E64">
              <w:rPr>
                <w:rFonts w:asciiTheme="minorHAnsi" w:hAnsiTheme="minorHAnsi"/>
                <w:color w:val="2E74B5" w:themeColor="accent1" w:themeShade="BF"/>
                <w:sz w:val="20"/>
                <w:szCs w:val="20"/>
              </w:rPr>
              <w:t xml:space="preserve">os solos cartografados sem correspondência deste valor, foram atribuídos valores de K no </w:t>
            </w:r>
            <w:r w:rsidRPr="00290FF3">
              <w:rPr>
                <w:rFonts w:asciiTheme="minorHAnsi" w:hAnsiTheme="minorHAnsi"/>
                <w:b/>
                <w:color w:val="2E74B5" w:themeColor="accent1" w:themeShade="BF"/>
                <w:sz w:val="20"/>
                <w:szCs w:val="20"/>
              </w:rPr>
              <w:t>sistema métrico</w:t>
            </w:r>
            <w:r w:rsidRPr="005E5E64">
              <w:rPr>
                <w:rFonts w:asciiTheme="minorHAnsi" w:hAnsiTheme="minorHAnsi"/>
                <w:color w:val="2E74B5" w:themeColor="accent1" w:themeShade="BF"/>
                <w:sz w:val="20"/>
                <w:szCs w:val="20"/>
              </w:rPr>
              <w:t>, por similitude a cada unidade/tipologia de solo constituinte dos solos dominantes.</w:t>
            </w:r>
          </w:p>
          <w:p w:rsidR="00E90857" w:rsidRDefault="00E90857" w:rsidP="00D6708D">
            <w:pPr>
              <w:spacing w:after="0" w:line="240" w:lineRule="auto"/>
              <w:rPr>
                <w:rFonts w:asciiTheme="minorHAnsi" w:hAnsiTheme="minorHAnsi"/>
                <w:color w:val="2E74B5" w:themeColor="accent1" w:themeShade="BF"/>
                <w:sz w:val="20"/>
                <w:szCs w:val="20"/>
              </w:rPr>
            </w:pPr>
          </w:p>
          <w:p w:rsidR="00E90857" w:rsidRDefault="00E90857" w:rsidP="00D6708D">
            <w:pPr>
              <w:spacing w:after="0" w:line="240" w:lineRule="auto"/>
              <w:rPr>
                <w:rFonts w:asciiTheme="minorHAnsi" w:hAnsiTheme="minorHAnsi"/>
                <w:color w:val="2E74B5" w:themeColor="accent1" w:themeShade="BF"/>
                <w:sz w:val="20"/>
                <w:szCs w:val="20"/>
              </w:rPr>
            </w:pPr>
          </w:p>
          <w:p w:rsidR="00E90857" w:rsidRDefault="00E90857" w:rsidP="00D6708D">
            <w:pPr>
              <w:spacing w:after="0" w:line="240" w:lineRule="auto"/>
              <w:rPr>
                <w:rFonts w:asciiTheme="minorHAnsi" w:hAnsiTheme="minorHAnsi"/>
                <w:color w:val="2E74B5" w:themeColor="accent1" w:themeShade="BF"/>
                <w:sz w:val="20"/>
                <w:szCs w:val="20"/>
              </w:rPr>
            </w:pPr>
          </w:p>
          <w:p w:rsidR="00E90857" w:rsidRDefault="00E90857" w:rsidP="00D6708D">
            <w:pPr>
              <w:spacing w:after="0" w:line="240" w:lineRule="auto"/>
              <w:rPr>
                <w:rFonts w:asciiTheme="minorHAnsi" w:hAnsiTheme="minorHAnsi"/>
                <w:color w:val="2E74B5" w:themeColor="accent1" w:themeShade="BF"/>
                <w:sz w:val="20"/>
                <w:szCs w:val="20"/>
              </w:rPr>
            </w:pPr>
          </w:p>
          <w:p w:rsidR="00E90857" w:rsidRDefault="00E90857" w:rsidP="00D6708D">
            <w:pPr>
              <w:spacing w:after="0" w:line="240" w:lineRule="auto"/>
              <w:rPr>
                <w:rFonts w:asciiTheme="minorHAnsi" w:hAnsiTheme="minorHAnsi"/>
                <w:color w:val="2E74B5" w:themeColor="accent1" w:themeShade="BF"/>
                <w:sz w:val="20"/>
                <w:szCs w:val="20"/>
              </w:rPr>
            </w:pPr>
          </w:p>
          <w:p w:rsidR="005E5E64" w:rsidRPr="00290FF3" w:rsidRDefault="005E5E64" w:rsidP="00D6708D">
            <w:pPr>
              <w:pStyle w:val="PargrafodaLista"/>
              <w:numPr>
                <w:ilvl w:val="0"/>
                <w:numId w:val="17"/>
              </w:numPr>
              <w:spacing w:after="0" w:line="240" w:lineRule="auto"/>
              <w:rPr>
                <w:rFonts w:asciiTheme="minorHAnsi" w:hAnsiTheme="minorHAnsi"/>
                <w:b/>
                <w:color w:val="2E74B5" w:themeColor="accent1" w:themeShade="BF"/>
                <w:sz w:val="20"/>
                <w:szCs w:val="20"/>
              </w:rPr>
            </w:pPr>
            <w:r w:rsidRPr="00290FF3">
              <w:rPr>
                <w:rFonts w:asciiTheme="minorHAnsi" w:hAnsiTheme="minorHAnsi"/>
                <w:b/>
                <w:color w:val="2E74B5" w:themeColor="accent1" w:themeShade="BF"/>
                <w:sz w:val="20"/>
                <w:szCs w:val="20"/>
              </w:rPr>
              <w:t>Fator Topográfico - LS</w:t>
            </w:r>
          </w:p>
          <w:p w:rsidR="005E5E64" w:rsidRPr="005E5E64" w:rsidRDefault="00E90857" w:rsidP="005E5E64">
            <w:pPr>
              <w:spacing w:after="0" w:line="240" w:lineRule="auto"/>
              <w:rPr>
                <w:rFonts w:asciiTheme="minorHAnsi" w:hAnsiTheme="minorHAnsi"/>
                <w:color w:val="2E74B5" w:themeColor="accent1" w:themeShade="BF"/>
                <w:sz w:val="20"/>
                <w:szCs w:val="20"/>
              </w:rPr>
            </w:pPr>
            <w:r>
              <w:rPr>
                <w:rFonts w:asciiTheme="minorHAnsi" w:hAnsiTheme="minorHAnsi"/>
                <w:color w:val="2E74B5" w:themeColor="accent1" w:themeShade="BF"/>
                <w:sz w:val="20"/>
                <w:szCs w:val="20"/>
              </w:rPr>
              <w:t>E</w:t>
            </w:r>
            <w:r w:rsidR="005E5E64" w:rsidRPr="005E5E64">
              <w:rPr>
                <w:rFonts w:asciiTheme="minorHAnsi" w:hAnsiTheme="minorHAnsi"/>
                <w:color w:val="2E74B5" w:themeColor="accent1" w:themeShade="BF"/>
                <w:sz w:val="20"/>
                <w:szCs w:val="20"/>
              </w:rPr>
              <w:t>sta expressão foi criada para cálculos de LS em parcelas regulares, isto é, com declive e largura</w:t>
            </w:r>
            <w:r w:rsidR="005E5E64">
              <w:rPr>
                <w:rFonts w:asciiTheme="minorHAnsi" w:hAnsiTheme="minorHAnsi"/>
                <w:color w:val="2E74B5" w:themeColor="accent1" w:themeShade="BF"/>
                <w:sz w:val="20"/>
                <w:szCs w:val="20"/>
              </w:rPr>
              <w:t xml:space="preserve"> </w:t>
            </w:r>
            <w:r w:rsidR="005E5E64" w:rsidRPr="005E5E64">
              <w:rPr>
                <w:rFonts w:asciiTheme="minorHAnsi" w:hAnsiTheme="minorHAnsi"/>
                <w:color w:val="2E74B5" w:themeColor="accent1" w:themeShade="BF"/>
                <w:sz w:val="20"/>
                <w:szCs w:val="20"/>
              </w:rPr>
              <w:t>uniforme.</w:t>
            </w:r>
          </w:p>
          <w:p w:rsidR="005E5E64" w:rsidRPr="005E5E64" w:rsidRDefault="005E5E64" w:rsidP="005E5E64">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lastRenderedPageBreak/>
              <w:t>Para tornar o cálculo mais preciso, isto é, para calcular o L em vertentes complexas, com variações de</w:t>
            </w:r>
            <w:r>
              <w:rPr>
                <w:rFonts w:asciiTheme="minorHAnsi" w:hAnsiTheme="minorHAnsi"/>
                <w:color w:val="2E74B5" w:themeColor="accent1" w:themeShade="BF"/>
                <w:sz w:val="20"/>
                <w:szCs w:val="20"/>
              </w:rPr>
              <w:t xml:space="preserve"> </w:t>
            </w:r>
            <w:r w:rsidRPr="005E5E64">
              <w:rPr>
                <w:rFonts w:asciiTheme="minorHAnsi" w:hAnsiTheme="minorHAnsi"/>
                <w:color w:val="2E74B5" w:themeColor="accent1" w:themeShade="BF"/>
                <w:sz w:val="20"/>
                <w:szCs w:val="20"/>
              </w:rPr>
              <w:t xml:space="preserve">declive, </w:t>
            </w:r>
            <w:proofErr w:type="spellStart"/>
            <w:r w:rsidRPr="005E5E64">
              <w:rPr>
                <w:rFonts w:asciiTheme="minorHAnsi" w:hAnsiTheme="minorHAnsi"/>
                <w:color w:val="2E74B5" w:themeColor="accent1" w:themeShade="BF"/>
                <w:sz w:val="20"/>
                <w:szCs w:val="20"/>
              </w:rPr>
              <w:t>Desmet</w:t>
            </w:r>
            <w:proofErr w:type="spellEnd"/>
            <w:r w:rsidRPr="005E5E64">
              <w:rPr>
                <w:rFonts w:asciiTheme="minorHAnsi" w:hAnsiTheme="minorHAnsi"/>
                <w:color w:val="2E74B5" w:themeColor="accent1" w:themeShade="BF"/>
                <w:sz w:val="20"/>
                <w:szCs w:val="20"/>
              </w:rPr>
              <w:t xml:space="preserve"> &amp; </w:t>
            </w:r>
            <w:proofErr w:type="spellStart"/>
            <w:r w:rsidRPr="005E5E64">
              <w:rPr>
                <w:rFonts w:asciiTheme="minorHAnsi" w:hAnsiTheme="minorHAnsi"/>
                <w:color w:val="2E74B5" w:themeColor="accent1" w:themeShade="BF"/>
                <w:sz w:val="20"/>
                <w:szCs w:val="20"/>
              </w:rPr>
              <w:t>Govers</w:t>
            </w:r>
            <w:proofErr w:type="spellEnd"/>
            <w:r w:rsidRPr="005E5E64">
              <w:rPr>
                <w:rFonts w:asciiTheme="minorHAnsi" w:hAnsiTheme="minorHAnsi"/>
                <w:color w:val="2E74B5" w:themeColor="accent1" w:themeShade="BF"/>
                <w:sz w:val="20"/>
                <w:szCs w:val="20"/>
              </w:rPr>
              <w:t xml:space="preserve"> desenvolveu-se um algoritmo que substitui o comprimento da rampa pela</w:t>
            </w:r>
            <w:r>
              <w:rPr>
                <w:rFonts w:asciiTheme="minorHAnsi" w:hAnsiTheme="minorHAnsi"/>
                <w:color w:val="2E74B5" w:themeColor="accent1" w:themeShade="BF"/>
                <w:sz w:val="20"/>
                <w:szCs w:val="20"/>
              </w:rPr>
              <w:t xml:space="preserve"> </w:t>
            </w:r>
            <w:r w:rsidRPr="005E5E64">
              <w:rPr>
                <w:rFonts w:asciiTheme="minorHAnsi" w:hAnsiTheme="minorHAnsi"/>
                <w:color w:val="2E74B5" w:themeColor="accent1" w:themeShade="BF"/>
                <w:sz w:val="20"/>
                <w:szCs w:val="20"/>
              </w:rPr>
              <w:t>unidade de área de contribuição, considerando assim a direção e quantidade do fluxo e a geometria das</w:t>
            </w:r>
            <w:r>
              <w:rPr>
                <w:rFonts w:asciiTheme="minorHAnsi" w:hAnsiTheme="minorHAnsi"/>
                <w:color w:val="2E74B5" w:themeColor="accent1" w:themeShade="BF"/>
                <w:sz w:val="20"/>
                <w:szCs w:val="20"/>
              </w:rPr>
              <w:t xml:space="preserve"> </w:t>
            </w:r>
            <w:r w:rsidRPr="005E5E64">
              <w:rPr>
                <w:rFonts w:asciiTheme="minorHAnsi" w:hAnsiTheme="minorHAnsi"/>
                <w:color w:val="2E74B5" w:themeColor="accent1" w:themeShade="BF"/>
                <w:sz w:val="20"/>
                <w:szCs w:val="20"/>
              </w:rPr>
              <w:t>vertentes, côncava ou convexa.</w:t>
            </w:r>
          </w:p>
          <w:p w:rsidR="005E5E64" w:rsidRDefault="005E5E64" w:rsidP="00D6708D">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L = ((</w:t>
            </w:r>
            <w:proofErr w:type="spellStart"/>
            <w:r w:rsidRPr="005E5E64">
              <w:rPr>
                <w:rFonts w:asciiTheme="minorHAnsi" w:hAnsiTheme="minorHAnsi"/>
                <w:color w:val="2E74B5" w:themeColor="accent1" w:themeShade="BF"/>
                <w:sz w:val="20"/>
                <w:szCs w:val="20"/>
              </w:rPr>
              <w:t>Ax</w:t>
            </w:r>
            <w:proofErr w:type="spellEnd"/>
            <w:r w:rsidRPr="005E5E64">
              <w:rPr>
                <w:rFonts w:asciiTheme="minorHAnsi" w:hAnsiTheme="minorHAnsi"/>
                <w:color w:val="2E74B5" w:themeColor="accent1" w:themeShade="BF"/>
                <w:sz w:val="20"/>
                <w:szCs w:val="20"/>
              </w:rPr>
              <w:t xml:space="preserve"> +D2) m+1)/(αmxDm+2x22,1m)</w:t>
            </w:r>
          </w:p>
          <w:p w:rsidR="005E5E64" w:rsidRPr="005E5E64" w:rsidRDefault="005E5E64" w:rsidP="005E5E64">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Em que:</w:t>
            </w:r>
          </w:p>
          <w:p w:rsidR="005E5E64" w:rsidRPr="005E5E64" w:rsidRDefault="005E5E64" w:rsidP="005E5E64">
            <w:pPr>
              <w:spacing w:after="0" w:line="240" w:lineRule="auto"/>
              <w:rPr>
                <w:rFonts w:asciiTheme="minorHAnsi" w:hAnsiTheme="minorHAnsi"/>
                <w:color w:val="2E74B5" w:themeColor="accent1" w:themeShade="BF"/>
                <w:sz w:val="20"/>
                <w:szCs w:val="20"/>
              </w:rPr>
            </w:pPr>
            <w:proofErr w:type="spellStart"/>
            <w:r w:rsidRPr="005E5E64">
              <w:rPr>
                <w:rFonts w:asciiTheme="minorHAnsi" w:hAnsiTheme="minorHAnsi"/>
                <w:color w:val="2E74B5" w:themeColor="accent1" w:themeShade="BF"/>
                <w:sz w:val="20"/>
                <w:szCs w:val="20"/>
              </w:rPr>
              <w:t>Ax</w:t>
            </w:r>
            <w:proofErr w:type="spellEnd"/>
            <w:r w:rsidRPr="005E5E64">
              <w:rPr>
                <w:rFonts w:asciiTheme="minorHAnsi" w:hAnsiTheme="minorHAnsi"/>
                <w:color w:val="2E74B5" w:themeColor="accent1" w:themeShade="BF"/>
                <w:sz w:val="20"/>
                <w:szCs w:val="20"/>
              </w:rPr>
              <w:t xml:space="preserve"> – Área de contribuição de uma célula para o fluxo acumulado (m2)</w:t>
            </w:r>
          </w:p>
          <w:p w:rsidR="005E5E64" w:rsidRPr="005E5E64" w:rsidRDefault="005E5E64" w:rsidP="005E5E64">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D – Dimensão das células (m)</w:t>
            </w:r>
          </w:p>
          <w:p w:rsidR="005E5E64" w:rsidRPr="005E5E64" w:rsidRDefault="005E5E64" w:rsidP="005E5E64">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α – Valor correspondente à direção do fluxo</w:t>
            </w:r>
          </w:p>
          <w:p w:rsidR="005E5E64" w:rsidRDefault="005E5E64" w:rsidP="005E5E64">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m – Coeficiente dependente do declive</w:t>
            </w:r>
          </w:p>
          <w:p w:rsidR="005E5E64" w:rsidRPr="005E5E64" w:rsidRDefault="005E5E64" w:rsidP="005E5E64">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Também para no fator S foi modificada a equação de modo a obterem-se resultados mais rigorosos,</w:t>
            </w:r>
            <w:r>
              <w:rPr>
                <w:rFonts w:asciiTheme="minorHAnsi" w:hAnsiTheme="minorHAnsi"/>
                <w:color w:val="2E74B5" w:themeColor="accent1" w:themeShade="BF"/>
                <w:sz w:val="20"/>
                <w:szCs w:val="20"/>
              </w:rPr>
              <w:t xml:space="preserve"> </w:t>
            </w:r>
            <w:r w:rsidRPr="005E5E64">
              <w:rPr>
                <w:rFonts w:asciiTheme="minorHAnsi" w:hAnsiTheme="minorHAnsi"/>
                <w:color w:val="2E74B5" w:themeColor="accent1" w:themeShade="BF"/>
                <w:sz w:val="20"/>
                <w:szCs w:val="20"/>
              </w:rPr>
              <w:t>dividindo-se o algoritmo original em dois, consoante a incidência do ângulo, através das seguintes</w:t>
            </w:r>
            <w:r>
              <w:rPr>
                <w:rFonts w:asciiTheme="minorHAnsi" w:hAnsiTheme="minorHAnsi"/>
                <w:color w:val="2E74B5" w:themeColor="accent1" w:themeShade="BF"/>
                <w:sz w:val="20"/>
                <w:szCs w:val="20"/>
              </w:rPr>
              <w:t xml:space="preserve"> </w:t>
            </w:r>
            <w:r w:rsidRPr="005E5E64">
              <w:rPr>
                <w:rFonts w:asciiTheme="minorHAnsi" w:hAnsiTheme="minorHAnsi"/>
                <w:color w:val="2E74B5" w:themeColor="accent1" w:themeShade="BF"/>
                <w:sz w:val="20"/>
                <w:szCs w:val="20"/>
              </w:rPr>
              <w:t>equações:</w:t>
            </w:r>
          </w:p>
          <w:p w:rsidR="005E5E64" w:rsidRPr="005E5E64" w:rsidRDefault="005E5E64" w:rsidP="005E5E64">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 xml:space="preserve">S = 10,8 x </w:t>
            </w:r>
            <w:proofErr w:type="spellStart"/>
            <w:r w:rsidRPr="005E5E64">
              <w:rPr>
                <w:rFonts w:asciiTheme="minorHAnsi" w:hAnsiTheme="minorHAnsi"/>
                <w:color w:val="2E74B5" w:themeColor="accent1" w:themeShade="BF"/>
                <w:sz w:val="20"/>
                <w:szCs w:val="20"/>
              </w:rPr>
              <w:t>senθ</w:t>
            </w:r>
            <w:proofErr w:type="spellEnd"/>
            <w:r w:rsidRPr="005E5E64">
              <w:rPr>
                <w:rFonts w:asciiTheme="minorHAnsi" w:hAnsiTheme="minorHAnsi"/>
                <w:color w:val="2E74B5" w:themeColor="accent1" w:themeShade="BF"/>
                <w:sz w:val="20"/>
                <w:szCs w:val="20"/>
              </w:rPr>
              <w:t xml:space="preserve"> + 0,03 para declives &lt; 9%</w:t>
            </w:r>
          </w:p>
          <w:p w:rsidR="005E5E64" w:rsidRPr="005E5E64" w:rsidRDefault="005E5E64" w:rsidP="005E5E64">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 xml:space="preserve">S = 16,8 x </w:t>
            </w:r>
            <w:proofErr w:type="spellStart"/>
            <w:r w:rsidRPr="005E5E64">
              <w:rPr>
                <w:rFonts w:asciiTheme="minorHAnsi" w:hAnsiTheme="minorHAnsi"/>
                <w:color w:val="2E74B5" w:themeColor="accent1" w:themeShade="BF"/>
                <w:sz w:val="20"/>
                <w:szCs w:val="20"/>
              </w:rPr>
              <w:t>senθ</w:t>
            </w:r>
            <w:proofErr w:type="spellEnd"/>
            <w:r w:rsidRPr="005E5E64">
              <w:rPr>
                <w:rFonts w:asciiTheme="minorHAnsi" w:hAnsiTheme="minorHAnsi"/>
                <w:color w:val="2E74B5" w:themeColor="accent1" w:themeShade="BF"/>
                <w:sz w:val="20"/>
                <w:szCs w:val="20"/>
              </w:rPr>
              <w:t xml:space="preserve"> - 0,50 para declives &gt; 9%</w:t>
            </w:r>
          </w:p>
          <w:p w:rsidR="005E5E64" w:rsidRDefault="005E5E64" w:rsidP="00D6708D">
            <w:pPr>
              <w:spacing w:after="0" w:line="240" w:lineRule="auto"/>
              <w:rPr>
                <w:rFonts w:asciiTheme="minorHAnsi" w:hAnsiTheme="minorHAnsi"/>
                <w:color w:val="2E74B5" w:themeColor="accent1" w:themeShade="BF"/>
                <w:sz w:val="20"/>
                <w:szCs w:val="20"/>
              </w:rPr>
            </w:pPr>
            <w:r w:rsidRPr="005E5E64">
              <w:rPr>
                <w:rFonts w:asciiTheme="minorHAnsi" w:hAnsiTheme="minorHAnsi"/>
                <w:color w:val="2E74B5" w:themeColor="accent1" w:themeShade="BF"/>
                <w:sz w:val="20"/>
                <w:szCs w:val="20"/>
              </w:rPr>
              <w:t>Desta forma o mapa que reflete o Fator LS foi calculado com as fórmulas enunciadas recorrendo a</w:t>
            </w:r>
            <w:r>
              <w:rPr>
                <w:rFonts w:asciiTheme="minorHAnsi" w:hAnsiTheme="minorHAnsi"/>
                <w:color w:val="2E74B5" w:themeColor="accent1" w:themeShade="BF"/>
                <w:sz w:val="20"/>
                <w:szCs w:val="20"/>
              </w:rPr>
              <w:t xml:space="preserve"> </w:t>
            </w:r>
            <w:r w:rsidRPr="005E5E64">
              <w:rPr>
                <w:rFonts w:asciiTheme="minorHAnsi" w:hAnsiTheme="minorHAnsi"/>
                <w:color w:val="2E74B5" w:themeColor="accent1" w:themeShade="BF"/>
                <w:sz w:val="20"/>
                <w:szCs w:val="20"/>
              </w:rPr>
              <w:t xml:space="preserve">operações de análise espacial elaboradas pelo Software </w:t>
            </w:r>
            <w:proofErr w:type="spellStart"/>
            <w:r w:rsidRPr="005E5E64">
              <w:rPr>
                <w:rFonts w:asciiTheme="minorHAnsi" w:hAnsiTheme="minorHAnsi"/>
                <w:color w:val="2E74B5" w:themeColor="accent1" w:themeShade="BF"/>
                <w:sz w:val="20"/>
                <w:szCs w:val="20"/>
              </w:rPr>
              <w:t>ArcView</w:t>
            </w:r>
            <w:proofErr w:type="spellEnd"/>
            <w:r w:rsidRPr="005E5E64">
              <w:rPr>
                <w:rFonts w:asciiTheme="minorHAnsi" w:hAnsiTheme="minorHAnsi"/>
                <w:color w:val="2E74B5" w:themeColor="accent1" w:themeShade="BF"/>
                <w:sz w:val="20"/>
                <w:szCs w:val="20"/>
              </w:rPr>
              <w:t>. As operações foram realizadas tendo</w:t>
            </w:r>
            <w:r>
              <w:rPr>
                <w:rFonts w:asciiTheme="minorHAnsi" w:hAnsiTheme="minorHAnsi"/>
                <w:color w:val="2E74B5" w:themeColor="accent1" w:themeShade="BF"/>
                <w:sz w:val="20"/>
                <w:szCs w:val="20"/>
              </w:rPr>
              <w:t xml:space="preserve"> </w:t>
            </w:r>
            <w:r w:rsidRPr="005E5E64">
              <w:rPr>
                <w:rFonts w:asciiTheme="minorHAnsi" w:hAnsiTheme="minorHAnsi"/>
                <w:color w:val="2E74B5" w:themeColor="accent1" w:themeShade="BF"/>
                <w:sz w:val="20"/>
                <w:szCs w:val="20"/>
              </w:rPr>
              <w:t>por base o modelo digital do terreno (MDT), gerado a partir da altimetria homologada do concelho, o que</w:t>
            </w:r>
            <w:r>
              <w:rPr>
                <w:rFonts w:asciiTheme="minorHAnsi" w:hAnsiTheme="minorHAnsi"/>
                <w:color w:val="2E74B5" w:themeColor="accent1" w:themeShade="BF"/>
                <w:sz w:val="20"/>
                <w:szCs w:val="20"/>
              </w:rPr>
              <w:t xml:space="preserve"> </w:t>
            </w:r>
            <w:r w:rsidRPr="005E5E64">
              <w:rPr>
                <w:rFonts w:asciiTheme="minorHAnsi" w:hAnsiTheme="minorHAnsi"/>
                <w:color w:val="2E74B5" w:themeColor="accent1" w:themeShade="BF"/>
                <w:sz w:val="20"/>
                <w:szCs w:val="20"/>
              </w:rPr>
              <w:t>permite o cálculo das variáveis topográficas necessárias à aplicação das equações referidas.</w:t>
            </w:r>
          </w:p>
          <w:p w:rsidR="00E90857" w:rsidRDefault="00E90857" w:rsidP="00D6708D">
            <w:pPr>
              <w:spacing w:after="0" w:line="240" w:lineRule="auto"/>
              <w:rPr>
                <w:rFonts w:asciiTheme="minorHAnsi" w:hAnsiTheme="minorHAnsi"/>
                <w:color w:val="2E74B5" w:themeColor="accent1" w:themeShade="BF"/>
                <w:sz w:val="20"/>
                <w:szCs w:val="20"/>
              </w:rPr>
            </w:pPr>
          </w:p>
          <w:p w:rsidR="004020AE" w:rsidRPr="00290FF3" w:rsidRDefault="004020AE" w:rsidP="00290FF3">
            <w:pPr>
              <w:pStyle w:val="PargrafodaLista"/>
              <w:numPr>
                <w:ilvl w:val="0"/>
                <w:numId w:val="17"/>
              </w:numPr>
              <w:spacing w:after="0" w:line="240" w:lineRule="auto"/>
              <w:rPr>
                <w:rFonts w:asciiTheme="minorHAnsi" w:hAnsiTheme="minorHAnsi"/>
                <w:b/>
                <w:color w:val="2E74B5" w:themeColor="accent1" w:themeShade="BF"/>
                <w:sz w:val="20"/>
                <w:szCs w:val="20"/>
              </w:rPr>
            </w:pPr>
            <w:r w:rsidRPr="00290FF3">
              <w:rPr>
                <w:rFonts w:asciiTheme="minorHAnsi" w:hAnsiTheme="minorHAnsi"/>
                <w:b/>
                <w:color w:val="2E74B5" w:themeColor="accent1" w:themeShade="BF"/>
                <w:sz w:val="20"/>
                <w:szCs w:val="20"/>
              </w:rPr>
              <w:t>Fator relativo ao tipo de culturas - C</w:t>
            </w:r>
          </w:p>
          <w:p w:rsidR="004020AE" w:rsidRDefault="004020AE">
            <w:pPr>
              <w:spacing w:after="0" w:line="240" w:lineRule="auto"/>
              <w:rPr>
                <w:rFonts w:asciiTheme="minorHAnsi" w:hAnsiTheme="minorHAnsi"/>
                <w:color w:val="2E74B5" w:themeColor="accent1" w:themeShade="BF"/>
                <w:sz w:val="20"/>
                <w:szCs w:val="20"/>
              </w:rPr>
            </w:pPr>
            <w:r w:rsidRPr="004020AE">
              <w:rPr>
                <w:rFonts w:asciiTheme="minorHAnsi" w:hAnsiTheme="minorHAnsi"/>
                <w:color w:val="2E74B5" w:themeColor="accent1" w:themeShade="BF"/>
                <w:sz w:val="20"/>
                <w:szCs w:val="20"/>
              </w:rPr>
              <w:t xml:space="preserve">Para cálculo deste fator foi elaborada a correspondência entre a Carta </w:t>
            </w:r>
            <w:proofErr w:type="spellStart"/>
            <w:r w:rsidRPr="004020AE">
              <w:rPr>
                <w:rFonts w:asciiTheme="minorHAnsi" w:hAnsiTheme="minorHAnsi"/>
                <w:color w:val="2E74B5" w:themeColor="accent1" w:themeShade="BF"/>
                <w:sz w:val="20"/>
                <w:szCs w:val="20"/>
              </w:rPr>
              <w:t>Co</w:t>
            </w:r>
            <w:r w:rsidR="00C36FFE">
              <w:rPr>
                <w:rFonts w:asciiTheme="minorHAnsi" w:hAnsiTheme="minorHAnsi"/>
                <w:color w:val="2E74B5" w:themeColor="accent1" w:themeShade="BF"/>
                <w:sz w:val="20"/>
                <w:szCs w:val="20"/>
              </w:rPr>
              <w:t>rine</w:t>
            </w:r>
            <w:proofErr w:type="spellEnd"/>
            <w:r w:rsidR="00C36FFE">
              <w:rPr>
                <w:rFonts w:asciiTheme="minorHAnsi" w:hAnsiTheme="minorHAnsi"/>
                <w:color w:val="2E74B5" w:themeColor="accent1" w:themeShade="BF"/>
                <w:sz w:val="20"/>
                <w:szCs w:val="20"/>
              </w:rPr>
              <w:t xml:space="preserve"> Land Cover 2006 e o valor </w:t>
            </w:r>
            <w:r w:rsidRPr="004020AE">
              <w:rPr>
                <w:rFonts w:asciiTheme="minorHAnsi" w:hAnsiTheme="minorHAnsi"/>
                <w:color w:val="2E74B5" w:themeColor="accent1" w:themeShade="BF"/>
                <w:sz w:val="20"/>
                <w:szCs w:val="20"/>
              </w:rPr>
              <w:t>proposto por Pimenta (Pimenta, 1999)</w:t>
            </w:r>
          </w:p>
          <w:p w:rsidR="000F495B" w:rsidRDefault="000F495B">
            <w:pPr>
              <w:spacing w:after="0" w:line="240" w:lineRule="auto"/>
              <w:rPr>
                <w:rFonts w:asciiTheme="minorHAnsi" w:hAnsiTheme="minorHAnsi"/>
                <w:color w:val="2E74B5" w:themeColor="accent1" w:themeShade="BF"/>
                <w:sz w:val="20"/>
                <w:szCs w:val="20"/>
              </w:rPr>
            </w:pPr>
          </w:p>
          <w:p w:rsidR="004020AE" w:rsidRDefault="004020AE" w:rsidP="008B5227">
            <w:pPr>
              <w:pStyle w:val="PargrafodaLista"/>
              <w:numPr>
                <w:ilvl w:val="0"/>
                <w:numId w:val="17"/>
              </w:numPr>
              <w:spacing w:after="0" w:line="240" w:lineRule="auto"/>
              <w:rPr>
                <w:rFonts w:asciiTheme="minorHAnsi" w:hAnsiTheme="minorHAnsi"/>
                <w:color w:val="2E74B5" w:themeColor="accent1" w:themeShade="BF"/>
                <w:sz w:val="20"/>
                <w:szCs w:val="20"/>
              </w:rPr>
            </w:pPr>
            <w:r w:rsidRPr="00290FF3">
              <w:rPr>
                <w:rFonts w:asciiTheme="minorHAnsi" w:hAnsiTheme="minorHAnsi"/>
                <w:b/>
                <w:color w:val="2E74B5" w:themeColor="accent1" w:themeShade="BF"/>
                <w:sz w:val="20"/>
                <w:szCs w:val="20"/>
              </w:rPr>
              <w:t>Fator antrópico - P</w:t>
            </w:r>
          </w:p>
          <w:p w:rsidR="004020AE" w:rsidRDefault="00A25136" w:rsidP="00A25136">
            <w:pPr>
              <w:spacing w:after="0" w:line="240" w:lineRule="auto"/>
              <w:rPr>
                <w:rFonts w:asciiTheme="minorHAnsi" w:hAnsiTheme="minorHAnsi"/>
                <w:color w:val="2E74B5" w:themeColor="accent1" w:themeShade="BF"/>
                <w:sz w:val="20"/>
                <w:szCs w:val="20"/>
              </w:rPr>
            </w:pPr>
            <w:r>
              <w:rPr>
                <w:rFonts w:asciiTheme="minorHAnsi" w:hAnsiTheme="minorHAnsi"/>
                <w:color w:val="2E74B5" w:themeColor="accent1" w:themeShade="BF"/>
                <w:sz w:val="20"/>
                <w:szCs w:val="20"/>
              </w:rPr>
              <w:t>O</w:t>
            </w:r>
            <w:r w:rsidRPr="00A25136">
              <w:rPr>
                <w:rFonts w:asciiTheme="minorHAnsi" w:hAnsiTheme="minorHAnsi"/>
                <w:color w:val="2E74B5" w:themeColor="accent1" w:themeShade="BF"/>
                <w:sz w:val="20"/>
                <w:szCs w:val="20"/>
              </w:rPr>
              <w:t>btida através dos dados do INE</w:t>
            </w:r>
          </w:p>
          <w:p w:rsidR="00A25136" w:rsidRDefault="00A25136"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CD7FB8" w:rsidRDefault="00CD7FB8" w:rsidP="00A25136">
            <w:pPr>
              <w:spacing w:after="0" w:line="240" w:lineRule="auto"/>
              <w:rPr>
                <w:rFonts w:asciiTheme="minorHAnsi" w:hAnsiTheme="minorHAnsi"/>
                <w:color w:val="2E74B5" w:themeColor="accent1" w:themeShade="BF"/>
                <w:sz w:val="20"/>
                <w:szCs w:val="20"/>
              </w:rPr>
            </w:pPr>
          </w:p>
          <w:p w:rsidR="00D65575" w:rsidRDefault="00D65575" w:rsidP="00A25136">
            <w:pPr>
              <w:spacing w:after="0" w:line="240" w:lineRule="auto"/>
              <w:rPr>
                <w:rFonts w:asciiTheme="minorHAnsi" w:hAnsiTheme="minorHAnsi"/>
                <w:color w:val="2E74B5" w:themeColor="accent1" w:themeShade="BF"/>
                <w:sz w:val="20"/>
                <w:szCs w:val="20"/>
              </w:rPr>
            </w:pPr>
          </w:p>
          <w:p w:rsidR="00851798" w:rsidRPr="00290FF3" w:rsidRDefault="00851798" w:rsidP="00851798">
            <w:pPr>
              <w:spacing w:after="0" w:line="240" w:lineRule="auto"/>
              <w:rPr>
                <w:rFonts w:asciiTheme="minorHAnsi" w:hAnsiTheme="minorHAnsi"/>
                <w:b/>
                <w:color w:val="2E74B5" w:themeColor="accent1" w:themeShade="BF"/>
                <w:sz w:val="20"/>
                <w:szCs w:val="20"/>
              </w:rPr>
            </w:pPr>
            <w:r w:rsidRPr="00290FF3">
              <w:rPr>
                <w:rFonts w:asciiTheme="minorHAnsi" w:hAnsiTheme="minorHAnsi"/>
                <w:b/>
                <w:color w:val="2E74B5" w:themeColor="accent1" w:themeShade="BF"/>
                <w:sz w:val="20"/>
                <w:szCs w:val="20"/>
              </w:rPr>
              <w:t>Razão de Cedência de Sedimentos</w:t>
            </w:r>
            <w:r>
              <w:rPr>
                <w:rFonts w:asciiTheme="minorHAnsi" w:hAnsiTheme="minorHAnsi"/>
                <w:b/>
                <w:color w:val="2E74B5" w:themeColor="accent1" w:themeShade="BF"/>
                <w:sz w:val="20"/>
                <w:szCs w:val="20"/>
              </w:rPr>
              <w:t xml:space="preserve"> (SDR)</w:t>
            </w:r>
          </w:p>
          <w:p w:rsidR="00851798" w:rsidRDefault="00851798" w:rsidP="00851798">
            <w:pPr>
              <w:spacing w:after="0" w:line="240" w:lineRule="auto"/>
              <w:rPr>
                <w:rFonts w:asciiTheme="minorHAnsi" w:hAnsiTheme="minorHAnsi"/>
                <w:color w:val="2E74B5" w:themeColor="accent1" w:themeShade="BF"/>
                <w:sz w:val="20"/>
                <w:szCs w:val="20"/>
              </w:rPr>
            </w:pPr>
            <w:r w:rsidRPr="00851798">
              <w:rPr>
                <w:rFonts w:asciiTheme="minorHAnsi" w:hAnsiTheme="minorHAnsi"/>
                <w:color w:val="2E74B5" w:themeColor="accent1" w:themeShade="BF"/>
                <w:sz w:val="20"/>
                <w:szCs w:val="20"/>
              </w:rPr>
              <w:lastRenderedPageBreak/>
              <w:t>A Razão de Cedência de Sedimentos (SDR) tem por base o cálculo da área contributiva respeitante a cada</w:t>
            </w:r>
            <w:r>
              <w:rPr>
                <w:rFonts w:asciiTheme="minorHAnsi" w:hAnsiTheme="minorHAnsi"/>
                <w:color w:val="2E74B5" w:themeColor="accent1" w:themeShade="BF"/>
                <w:sz w:val="20"/>
                <w:szCs w:val="20"/>
              </w:rPr>
              <w:t xml:space="preserve"> </w:t>
            </w:r>
            <w:r w:rsidRPr="00851798">
              <w:rPr>
                <w:rFonts w:asciiTheme="minorHAnsi" w:hAnsiTheme="minorHAnsi"/>
                <w:color w:val="2E74B5" w:themeColor="accent1" w:themeShade="BF"/>
                <w:sz w:val="20"/>
                <w:szCs w:val="20"/>
              </w:rPr>
              <w:t>pixel, e resulta num valor percentual referente à capacidade de movimentação das partículas do solo</w:t>
            </w:r>
            <w:r>
              <w:rPr>
                <w:rFonts w:asciiTheme="minorHAnsi" w:hAnsiTheme="minorHAnsi"/>
                <w:color w:val="2E74B5" w:themeColor="accent1" w:themeShade="BF"/>
                <w:sz w:val="20"/>
                <w:szCs w:val="20"/>
              </w:rPr>
              <w:t xml:space="preserve"> </w:t>
            </w:r>
            <w:r w:rsidRPr="00851798">
              <w:rPr>
                <w:rFonts w:asciiTheme="minorHAnsi" w:hAnsiTheme="minorHAnsi"/>
                <w:color w:val="2E74B5" w:themeColor="accent1" w:themeShade="BF"/>
                <w:sz w:val="20"/>
                <w:szCs w:val="20"/>
              </w:rPr>
              <w:t>para a unidade territorial considerada (uma estimativa que considera o carácter cumulativo do</w:t>
            </w:r>
            <w:r>
              <w:rPr>
                <w:rFonts w:asciiTheme="minorHAnsi" w:hAnsiTheme="minorHAnsi"/>
                <w:color w:val="2E74B5" w:themeColor="accent1" w:themeShade="BF"/>
                <w:sz w:val="20"/>
                <w:szCs w:val="20"/>
              </w:rPr>
              <w:t xml:space="preserve"> </w:t>
            </w:r>
            <w:r w:rsidRPr="00851798">
              <w:rPr>
                <w:rFonts w:asciiTheme="minorHAnsi" w:hAnsiTheme="minorHAnsi"/>
                <w:color w:val="2E74B5" w:themeColor="accent1" w:themeShade="BF"/>
                <w:sz w:val="20"/>
                <w:szCs w:val="20"/>
              </w:rPr>
              <w:t>escoamento superficial da água, que atinge a superfície terrestre, ao longo da bacia), isto é, cada pixel vai</w:t>
            </w:r>
            <w:r>
              <w:rPr>
                <w:rFonts w:asciiTheme="minorHAnsi" w:hAnsiTheme="minorHAnsi"/>
                <w:color w:val="2E74B5" w:themeColor="accent1" w:themeShade="BF"/>
                <w:sz w:val="20"/>
                <w:szCs w:val="20"/>
              </w:rPr>
              <w:t xml:space="preserve"> </w:t>
            </w:r>
            <w:r w:rsidRPr="00851798">
              <w:rPr>
                <w:rFonts w:asciiTheme="minorHAnsi" w:hAnsiTheme="minorHAnsi"/>
                <w:color w:val="2E74B5" w:themeColor="accent1" w:themeShade="BF"/>
                <w:sz w:val="20"/>
                <w:szCs w:val="20"/>
              </w:rPr>
              <w:t>apresentar um determinado valor de SDR afeto à bacia de drenagem correspondente.</w:t>
            </w:r>
          </w:p>
          <w:p w:rsidR="00851798" w:rsidRDefault="00851798" w:rsidP="00851798">
            <w:pPr>
              <w:spacing w:after="0" w:line="240" w:lineRule="auto"/>
              <w:rPr>
                <w:rFonts w:asciiTheme="minorHAnsi" w:hAnsiTheme="minorHAnsi"/>
                <w:color w:val="2E74B5" w:themeColor="accent1" w:themeShade="BF"/>
                <w:sz w:val="20"/>
                <w:szCs w:val="20"/>
              </w:rPr>
            </w:pPr>
          </w:p>
          <w:p w:rsidR="00851798" w:rsidRPr="00290FF3" w:rsidRDefault="00851798" w:rsidP="00851798">
            <w:pPr>
              <w:spacing w:after="0" w:line="240" w:lineRule="auto"/>
              <w:rPr>
                <w:rFonts w:asciiTheme="minorHAnsi" w:hAnsiTheme="minorHAnsi"/>
                <w:b/>
                <w:color w:val="2E74B5" w:themeColor="accent1" w:themeShade="BF"/>
                <w:sz w:val="20"/>
                <w:szCs w:val="20"/>
              </w:rPr>
            </w:pPr>
            <w:r w:rsidRPr="00290FF3">
              <w:rPr>
                <w:rFonts w:asciiTheme="minorHAnsi" w:hAnsiTheme="minorHAnsi"/>
                <w:b/>
                <w:color w:val="2E74B5" w:themeColor="accent1" w:themeShade="BF"/>
                <w:sz w:val="20"/>
                <w:szCs w:val="20"/>
              </w:rPr>
              <w:t>Perda de Solo Específico</w:t>
            </w:r>
            <w:r w:rsidR="00D65575">
              <w:rPr>
                <w:rFonts w:asciiTheme="minorHAnsi" w:hAnsiTheme="minorHAnsi"/>
                <w:b/>
                <w:color w:val="2E74B5" w:themeColor="accent1" w:themeShade="BF"/>
                <w:sz w:val="20"/>
                <w:szCs w:val="20"/>
              </w:rPr>
              <w:t xml:space="preserve"> (</w:t>
            </w:r>
            <w:proofErr w:type="spellStart"/>
            <w:r w:rsidR="00D65575">
              <w:rPr>
                <w:rFonts w:asciiTheme="minorHAnsi" w:hAnsiTheme="minorHAnsi"/>
                <w:b/>
                <w:color w:val="2E74B5" w:themeColor="accent1" w:themeShade="BF"/>
                <w:sz w:val="20"/>
                <w:szCs w:val="20"/>
              </w:rPr>
              <w:t>Pse</w:t>
            </w:r>
            <w:proofErr w:type="spellEnd"/>
            <w:r w:rsidR="00D65575">
              <w:rPr>
                <w:rFonts w:asciiTheme="minorHAnsi" w:hAnsiTheme="minorHAnsi"/>
                <w:b/>
                <w:color w:val="2E74B5" w:themeColor="accent1" w:themeShade="BF"/>
                <w:sz w:val="20"/>
                <w:szCs w:val="20"/>
              </w:rPr>
              <w:t>)</w:t>
            </w:r>
          </w:p>
          <w:p w:rsidR="00F00D4F" w:rsidRDefault="00F00D4F" w:rsidP="00F00D4F">
            <w:pPr>
              <w:spacing w:after="0" w:line="240" w:lineRule="auto"/>
              <w:rPr>
                <w:rFonts w:asciiTheme="minorHAnsi" w:hAnsiTheme="minorHAnsi"/>
                <w:color w:val="2E74B5" w:themeColor="accent1" w:themeShade="BF"/>
                <w:sz w:val="20"/>
                <w:szCs w:val="20"/>
              </w:rPr>
            </w:pPr>
            <w:r w:rsidRPr="00F00D4F">
              <w:rPr>
                <w:rFonts w:asciiTheme="minorHAnsi" w:hAnsiTheme="minorHAnsi"/>
                <w:color w:val="2E74B5" w:themeColor="accent1" w:themeShade="BF"/>
                <w:sz w:val="20"/>
                <w:szCs w:val="20"/>
              </w:rPr>
              <w:t>Em termos de classificação qualitativa da perda de solo associada ao risco de erosão hídrica, aplicam-se</w:t>
            </w:r>
            <w:r>
              <w:rPr>
                <w:rFonts w:asciiTheme="minorHAnsi" w:hAnsiTheme="minorHAnsi"/>
                <w:color w:val="2E74B5" w:themeColor="accent1" w:themeShade="BF"/>
                <w:sz w:val="20"/>
                <w:szCs w:val="20"/>
              </w:rPr>
              <w:t xml:space="preserve"> </w:t>
            </w:r>
            <w:r w:rsidRPr="00F00D4F">
              <w:rPr>
                <w:rFonts w:asciiTheme="minorHAnsi" w:hAnsiTheme="minorHAnsi"/>
                <w:color w:val="2E74B5" w:themeColor="accent1" w:themeShade="BF"/>
                <w:sz w:val="20"/>
                <w:szCs w:val="20"/>
              </w:rPr>
              <w:t xml:space="preserve">os valores do quadro </w:t>
            </w:r>
            <w:r>
              <w:rPr>
                <w:rFonts w:asciiTheme="minorHAnsi" w:hAnsiTheme="minorHAnsi"/>
                <w:color w:val="2E74B5" w:themeColor="accent1" w:themeShade="BF"/>
                <w:sz w:val="20"/>
                <w:szCs w:val="20"/>
              </w:rPr>
              <w:t>previsto na OENR.</w:t>
            </w:r>
          </w:p>
          <w:p w:rsidR="00A25136" w:rsidRPr="00D6708D" w:rsidRDefault="00F00D4F" w:rsidP="00A25136">
            <w:pPr>
              <w:spacing w:after="0" w:line="240" w:lineRule="auto"/>
              <w:rPr>
                <w:rFonts w:asciiTheme="minorHAnsi" w:hAnsiTheme="minorHAnsi"/>
                <w:color w:val="2E74B5" w:themeColor="accent1" w:themeShade="BF"/>
                <w:sz w:val="20"/>
                <w:szCs w:val="20"/>
              </w:rPr>
            </w:pPr>
            <w:r w:rsidRPr="00F00D4F">
              <w:rPr>
                <w:rFonts w:asciiTheme="minorHAnsi" w:hAnsiTheme="minorHAnsi"/>
                <w:color w:val="2E74B5" w:themeColor="accent1" w:themeShade="BF"/>
                <w:sz w:val="20"/>
                <w:szCs w:val="20"/>
              </w:rPr>
              <w:t xml:space="preserve">Os resultados com risco elevado, ou seja, </w:t>
            </w:r>
            <w:r w:rsidRPr="00290FF3">
              <w:rPr>
                <w:rFonts w:asciiTheme="minorHAnsi" w:hAnsiTheme="minorHAnsi"/>
                <w:b/>
                <w:color w:val="2E74B5" w:themeColor="accent1" w:themeShade="BF"/>
                <w:sz w:val="20"/>
                <w:szCs w:val="20"/>
              </w:rPr>
              <w:t>maior ou igual a 55 são aqueles que irão integrar a REN como áreas de elevado risco de erosão hídrica</w:t>
            </w:r>
            <w:r>
              <w:rPr>
                <w:rFonts w:asciiTheme="minorHAnsi" w:hAnsiTheme="minorHAnsi"/>
                <w:color w:val="2E74B5" w:themeColor="accent1" w:themeShade="BF"/>
                <w:sz w:val="20"/>
                <w:szCs w:val="20"/>
              </w:rPr>
              <w:t>.</w:t>
            </w:r>
          </w:p>
        </w:tc>
        <w:tc>
          <w:tcPr>
            <w:tcW w:w="4110" w:type="dxa"/>
          </w:tcPr>
          <w:p w:rsidR="0089135C" w:rsidRPr="008B5227" w:rsidRDefault="00422172" w:rsidP="00422172">
            <w:pPr>
              <w:spacing w:after="0" w:line="240" w:lineRule="auto"/>
              <w:rPr>
                <w:rFonts w:asciiTheme="minorHAnsi" w:hAnsiTheme="minorHAnsi"/>
                <w:color w:val="833C0B" w:themeColor="accent2" w:themeShade="80"/>
                <w:sz w:val="20"/>
                <w:szCs w:val="20"/>
              </w:rPr>
            </w:pPr>
            <w:r w:rsidRPr="008B5227">
              <w:rPr>
                <w:rFonts w:asciiTheme="minorHAnsi" w:hAnsiTheme="minorHAnsi"/>
                <w:i/>
                <w:color w:val="833C0B" w:themeColor="accent2" w:themeShade="80"/>
                <w:sz w:val="20"/>
                <w:szCs w:val="20"/>
              </w:rPr>
              <w:lastRenderedPageBreak/>
              <w:t>Guia metodológico para delimitação da Reserva Ecológica Nacional em Lisboa e Vale do Tejo – páginas 105 a 109</w:t>
            </w:r>
            <w:r w:rsidR="0089135C" w:rsidRPr="008B5227">
              <w:rPr>
                <w:rFonts w:asciiTheme="minorHAnsi" w:hAnsiTheme="minorHAnsi"/>
                <w:i/>
                <w:color w:val="833C0B" w:themeColor="accent2" w:themeShade="80"/>
                <w:sz w:val="20"/>
                <w:szCs w:val="20"/>
              </w:rPr>
              <w:t>.</w:t>
            </w:r>
          </w:p>
          <w:p w:rsidR="00C13569" w:rsidRPr="008B5227" w:rsidRDefault="00C13569" w:rsidP="00422172">
            <w:pPr>
              <w:spacing w:after="0" w:line="240" w:lineRule="auto"/>
              <w:rPr>
                <w:rFonts w:asciiTheme="minorHAnsi" w:hAnsiTheme="minorHAnsi"/>
                <w:color w:val="833C0B" w:themeColor="accent2" w:themeShade="80"/>
                <w:sz w:val="20"/>
                <w:szCs w:val="20"/>
              </w:rPr>
            </w:pPr>
          </w:p>
          <w:p w:rsidR="00C13569" w:rsidRPr="008B5227" w:rsidRDefault="00C13569" w:rsidP="00422172">
            <w:pPr>
              <w:spacing w:after="0" w:line="240" w:lineRule="auto"/>
              <w:rPr>
                <w:rFonts w:asciiTheme="minorHAnsi" w:hAnsiTheme="minorHAnsi"/>
                <w:b/>
                <w:color w:val="833C0B" w:themeColor="accent2" w:themeShade="80"/>
                <w:sz w:val="20"/>
                <w:szCs w:val="20"/>
              </w:rPr>
            </w:pPr>
            <w:r w:rsidRPr="008B5227">
              <w:rPr>
                <w:rFonts w:asciiTheme="minorHAnsi" w:hAnsiTheme="minorHAnsi"/>
                <w:b/>
                <w:color w:val="833C0B" w:themeColor="accent2" w:themeShade="80"/>
                <w:sz w:val="20"/>
                <w:szCs w:val="20"/>
              </w:rPr>
              <w:t>Erosão específica do solo (A)</w:t>
            </w:r>
          </w:p>
          <w:p w:rsidR="001224A8" w:rsidRPr="008B5227" w:rsidRDefault="001224A8" w:rsidP="008B5227">
            <w:pPr>
              <w:pStyle w:val="PargrafodaLista"/>
              <w:numPr>
                <w:ilvl w:val="0"/>
                <w:numId w:val="17"/>
              </w:numPr>
              <w:spacing w:after="0" w:line="240" w:lineRule="auto"/>
              <w:rPr>
                <w:rFonts w:asciiTheme="minorHAnsi" w:hAnsiTheme="minorHAnsi"/>
                <w:b/>
                <w:color w:val="833C0B" w:themeColor="accent2" w:themeShade="80"/>
                <w:sz w:val="20"/>
                <w:szCs w:val="20"/>
              </w:rPr>
            </w:pPr>
            <w:r w:rsidRPr="008B5227">
              <w:rPr>
                <w:rFonts w:asciiTheme="minorHAnsi" w:hAnsiTheme="minorHAnsi"/>
                <w:b/>
                <w:color w:val="833C0B" w:themeColor="accent2" w:themeShade="80"/>
                <w:sz w:val="20"/>
                <w:szCs w:val="20"/>
              </w:rPr>
              <w:t>Erosividade da Precipitação - R</w:t>
            </w:r>
          </w:p>
          <w:p w:rsidR="00057BB5" w:rsidRPr="008B5227" w:rsidRDefault="001224A8" w:rsidP="00057BB5">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Dado em </w:t>
            </w:r>
            <w:proofErr w:type="spellStart"/>
            <w:r w:rsidRPr="008B5227">
              <w:rPr>
                <w:rFonts w:asciiTheme="minorHAnsi" w:hAnsiTheme="minorHAnsi"/>
                <w:color w:val="833C0B" w:themeColor="accent2" w:themeShade="80"/>
                <w:sz w:val="20"/>
                <w:szCs w:val="20"/>
              </w:rPr>
              <w:t>t.</w:t>
            </w:r>
            <w:r w:rsidR="003A1042" w:rsidRPr="008B5227">
              <w:rPr>
                <w:rFonts w:asciiTheme="minorHAnsi" w:hAnsiTheme="minorHAnsi"/>
                <w:color w:val="833C0B" w:themeColor="accent2" w:themeShade="80"/>
                <w:sz w:val="20"/>
                <w:szCs w:val="20"/>
              </w:rPr>
              <w:t>americanas.pé</w:t>
            </w:r>
            <w:proofErr w:type="spellEnd"/>
            <w:r w:rsidRPr="008B5227">
              <w:rPr>
                <w:rFonts w:asciiTheme="minorHAnsi" w:hAnsiTheme="minorHAnsi"/>
                <w:color w:val="833C0B" w:themeColor="accent2" w:themeShade="80"/>
                <w:sz w:val="20"/>
                <w:szCs w:val="20"/>
              </w:rPr>
              <w:t>/acre, cujos valores constam do cartograma Erosividade da Precipitação (449 postos 50.8 mm)</w:t>
            </w:r>
            <w:r w:rsidR="00057BB5" w:rsidRPr="008B5227">
              <w:rPr>
                <w:rFonts w:asciiTheme="minorHAnsi" w:hAnsiTheme="minorHAnsi"/>
                <w:color w:val="833C0B" w:themeColor="accent2" w:themeShade="80"/>
                <w:sz w:val="20"/>
                <w:szCs w:val="20"/>
              </w:rPr>
              <w:t>,</w:t>
            </w:r>
            <w:r w:rsidR="00E17344" w:rsidRPr="008B5227">
              <w:rPr>
                <w:rFonts w:asciiTheme="minorHAnsi" w:hAnsiTheme="minorHAnsi"/>
                <w:color w:val="833C0B" w:themeColor="accent2" w:themeShade="80"/>
                <w:sz w:val="20"/>
                <w:szCs w:val="20"/>
              </w:rPr>
              <w:t xml:space="preserve"> elaborado pelo </w:t>
            </w:r>
            <w:proofErr w:type="spellStart"/>
            <w:r w:rsidR="00E17344" w:rsidRPr="008B5227">
              <w:rPr>
                <w:rFonts w:asciiTheme="minorHAnsi" w:hAnsiTheme="minorHAnsi"/>
                <w:color w:val="833C0B" w:themeColor="accent2" w:themeShade="80"/>
                <w:sz w:val="20"/>
                <w:szCs w:val="20"/>
              </w:rPr>
              <w:t>ex-INAG</w:t>
            </w:r>
            <w:proofErr w:type="spellEnd"/>
            <w:r w:rsidR="00E17344" w:rsidRPr="008B5227">
              <w:rPr>
                <w:rFonts w:asciiTheme="minorHAnsi" w:hAnsiTheme="minorHAnsi"/>
                <w:color w:val="833C0B" w:themeColor="accent2" w:themeShade="80"/>
                <w:sz w:val="20"/>
                <w:szCs w:val="20"/>
              </w:rPr>
              <w:t xml:space="preserve"> (atualmente APA)</w:t>
            </w:r>
            <w:r w:rsidR="00057BB5" w:rsidRPr="008B5227">
              <w:rPr>
                <w:rFonts w:asciiTheme="minorHAnsi" w:hAnsiTheme="minorHAnsi"/>
                <w:color w:val="833C0B" w:themeColor="accent2" w:themeShade="80"/>
                <w:sz w:val="20"/>
                <w:szCs w:val="20"/>
              </w:rPr>
              <w:t>.</w:t>
            </w:r>
          </w:p>
          <w:p w:rsidR="001224A8" w:rsidRPr="008B5227" w:rsidRDefault="001224A8" w:rsidP="00422172">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Se as unidades utilizadas forem </w:t>
            </w:r>
            <w:proofErr w:type="spellStart"/>
            <w:r w:rsidRPr="008B5227">
              <w:rPr>
                <w:rFonts w:asciiTheme="minorHAnsi" w:hAnsiTheme="minorHAnsi"/>
                <w:color w:val="833C0B" w:themeColor="accent2" w:themeShade="80"/>
                <w:sz w:val="20"/>
                <w:szCs w:val="20"/>
              </w:rPr>
              <w:t>Mj</w:t>
            </w:r>
            <w:proofErr w:type="spellEnd"/>
            <w:r w:rsidRPr="008B5227">
              <w:rPr>
                <w:rFonts w:asciiTheme="minorHAnsi" w:hAnsiTheme="minorHAnsi"/>
                <w:color w:val="833C0B" w:themeColor="accent2" w:themeShade="80"/>
                <w:sz w:val="20"/>
                <w:szCs w:val="20"/>
              </w:rPr>
              <w:t>/</w:t>
            </w:r>
            <w:proofErr w:type="spellStart"/>
            <w:r w:rsidRPr="008B5227">
              <w:rPr>
                <w:rFonts w:asciiTheme="minorHAnsi" w:hAnsiTheme="minorHAnsi"/>
                <w:color w:val="833C0B" w:themeColor="accent2" w:themeShade="80"/>
                <w:sz w:val="20"/>
                <w:szCs w:val="20"/>
              </w:rPr>
              <w:t>ha.mm</w:t>
            </w:r>
            <w:proofErr w:type="spellEnd"/>
            <w:r w:rsidRPr="008B5227">
              <w:rPr>
                <w:rFonts w:asciiTheme="minorHAnsi" w:hAnsiTheme="minorHAnsi"/>
                <w:color w:val="833C0B" w:themeColor="accent2" w:themeShade="80"/>
                <w:sz w:val="20"/>
                <w:szCs w:val="20"/>
              </w:rPr>
              <w:t>/ano, a constante de conversão não é necessária, devendo ser considerada a mesma precipitação de 50,8 mm.</w:t>
            </w:r>
          </w:p>
          <w:p w:rsidR="00986AE1" w:rsidRPr="008B5227" w:rsidRDefault="00986AE1" w:rsidP="00422172">
            <w:pPr>
              <w:spacing w:after="0" w:line="240" w:lineRule="auto"/>
              <w:rPr>
                <w:rFonts w:asciiTheme="minorHAnsi" w:hAnsiTheme="minorHAnsi"/>
                <w:color w:val="833C0B" w:themeColor="accent2" w:themeShade="80"/>
                <w:sz w:val="20"/>
                <w:szCs w:val="20"/>
              </w:rPr>
            </w:pPr>
          </w:p>
          <w:p w:rsidR="00E90857" w:rsidRPr="008B5227" w:rsidRDefault="00986AE1" w:rsidP="008B5227">
            <w:pPr>
              <w:pStyle w:val="PargrafodaLista"/>
              <w:numPr>
                <w:ilvl w:val="0"/>
                <w:numId w:val="17"/>
              </w:numPr>
              <w:spacing w:after="0" w:line="240" w:lineRule="auto"/>
              <w:rPr>
                <w:rFonts w:asciiTheme="minorHAnsi" w:hAnsiTheme="minorHAnsi"/>
                <w:color w:val="833C0B" w:themeColor="accent2" w:themeShade="80"/>
                <w:sz w:val="20"/>
                <w:szCs w:val="20"/>
              </w:rPr>
            </w:pPr>
            <w:r w:rsidRPr="008B5227">
              <w:rPr>
                <w:rFonts w:asciiTheme="minorHAnsi" w:hAnsiTheme="minorHAnsi"/>
                <w:b/>
                <w:color w:val="833C0B" w:themeColor="accent2" w:themeShade="80"/>
                <w:sz w:val="20"/>
                <w:szCs w:val="20"/>
              </w:rPr>
              <w:t>Erodibilidade do Solo - K</w:t>
            </w:r>
          </w:p>
          <w:p w:rsidR="00E90857" w:rsidRPr="008B5227" w:rsidRDefault="00E90857" w:rsidP="00422172">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O</w:t>
            </w:r>
            <w:r w:rsidR="00986AE1" w:rsidRPr="008B5227">
              <w:rPr>
                <w:rFonts w:asciiTheme="minorHAnsi" w:hAnsiTheme="minorHAnsi"/>
                <w:color w:val="833C0B" w:themeColor="accent2" w:themeShade="80"/>
                <w:sz w:val="20"/>
                <w:szCs w:val="20"/>
              </w:rPr>
              <w:t>s va</w:t>
            </w:r>
            <w:r w:rsidRPr="008B5227">
              <w:rPr>
                <w:rFonts w:asciiTheme="minorHAnsi" w:hAnsiTheme="minorHAnsi"/>
                <w:color w:val="833C0B" w:themeColor="accent2" w:themeShade="80"/>
                <w:sz w:val="20"/>
                <w:szCs w:val="20"/>
              </w:rPr>
              <w:t>lores são dados em unidades SI.</w:t>
            </w:r>
          </w:p>
          <w:p w:rsidR="00986AE1" w:rsidRPr="008B5227" w:rsidRDefault="00986AE1" w:rsidP="00422172">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Para solos cuja erodibilidade não esteja determinada pode recorrer-se a outros estudos tecnicamente sustentados ou estimar o valor, por analogia a</w:t>
            </w:r>
          </w:p>
          <w:p w:rsidR="00C13569" w:rsidRPr="008B5227" w:rsidRDefault="00C13569" w:rsidP="00422172">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Quando uma mancha integra mais de um tipo de solo, o seu valor de erodibilidade corresponde à média ponderada dos valores respeitantes a cada um dos solos.</w:t>
            </w:r>
          </w:p>
          <w:p w:rsidR="00E90857" w:rsidRPr="008B5227" w:rsidRDefault="00E90857" w:rsidP="00422172">
            <w:pPr>
              <w:spacing w:after="0" w:line="240" w:lineRule="auto"/>
              <w:rPr>
                <w:rFonts w:asciiTheme="minorHAnsi" w:hAnsiTheme="minorHAnsi"/>
                <w:color w:val="833C0B" w:themeColor="accent2" w:themeShade="80"/>
                <w:sz w:val="20"/>
                <w:szCs w:val="20"/>
              </w:rPr>
            </w:pPr>
          </w:p>
          <w:p w:rsidR="00E90857" w:rsidRPr="008B5227" w:rsidRDefault="00E90857" w:rsidP="00290FF3">
            <w:pPr>
              <w:pStyle w:val="PargrafodaLista"/>
              <w:numPr>
                <w:ilvl w:val="0"/>
                <w:numId w:val="17"/>
              </w:numPr>
              <w:spacing w:after="0" w:line="240" w:lineRule="auto"/>
              <w:rPr>
                <w:rFonts w:asciiTheme="minorHAnsi" w:hAnsiTheme="minorHAnsi"/>
                <w:b/>
                <w:color w:val="833C0B" w:themeColor="accent2" w:themeShade="80"/>
                <w:sz w:val="20"/>
                <w:szCs w:val="20"/>
              </w:rPr>
            </w:pPr>
            <w:r w:rsidRPr="008B5227">
              <w:rPr>
                <w:rFonts w:asciiTheme="minorHAnsi" w:hAnsiTheme="minorHAnsi"/>
                <w:b/>
                <w:color w:val="833C0B" w:themeColor="accent2" w:themeShade="80"/>
                <w:sz w:val="20"/>
                <w:szCs w:val="20"/>
              </w:rPr>
              <w:t>Fator Topográfico - LS</w:t>
            </w:r>
          </w:p>
          <w:p w:rsidR="00C13569" w:rsidRPr="008B5227" w:rsidRDefault="00C13569" w:rsidP="00C13569">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LS é um fator </w:t>
            </w:r>
            <w:proofErr w:type="spellStart"/>
            <w:r w:rsidRPr="008B5227">
              <w:rPr>
                <w:rFonts w:asciiTheme="minorHAnsi" w:hAnsiTheme="minorHAnsi"/>
                <w:color w:val="833C0B" w:themeColor="accent2" w:themeShade="80"/>
                <w:sz w:val="20"/>
                <w:szCs w:val="20"/>
              </w:rPr>
              <w:t>adimensional</w:t>
            </w:r>
            <w:proofErr w:type="spellEnd"/>
            <w:r w:rsidRPr="008B5227">
              <w:rPr>
                <w:rFonts w:asciiTheme="minorHAnsi" w:hAnsiTheme="minorHAnsi"/>
                <w:color w:val="833C0B" w:themeColor="accent2" w:themeShade="80"/>
                <w:sz w:val="20"/>
                <w:szCs w:val="20"/>
              </w:rPr>
              <w:t xml:space="preserve"> que pode ser determinado ou pela expressão constante nas OE ou através de ferramenta disponível em </w:t>
            </w:r>
            <w:r w:rsidRPr="008B5227">
              <w:rPr>
                <w:rFonts w:asciiTheme="minorHAnsi" w:hAnsiTheme="minorHAnsi"/>
                <w:color w:val="833C0B" w:themeColor="accent2" w:themeShade="80"/>
                <w:sz w:val="20"/>
                <w:szCs w:val="20"/>
              </w:rPr>
              <w:lastRenderedPageBreak/>
              <w:t xml:space="preserve">Sistema de Informação Geográfica (SIG), ponderando o erro inerente ao sistema adotado, o qual deve ser ajustado à equidistância das curvas de nível da cartografia de referência usada. Como exemplo refere-se o modelo desenvolvido por </w:t>
            </w:r>
            <w:proofErr w:type="spellStart"/>
            <w:r w:rsidRPr="008B5227">
              <w:rPr>
                <w:rFonts w:asciiTheme="minorHAnsi" w:hAnsiTheme="minorHAnsi"/>
                <w:color w:val="833C0B" w:themeColor="accent2" w:themeShade="80"/>
                <w:sz w:val="20"/>
                <w:szCs w:val="20"/>
              </w:rPr>
              <w:t>Mitasova</w:t>
            </w:r>
            <w:proofErr w:type="spellEnd"/>
            <w:r w:rsidRPr="008B5227">
              <w:rPr>
                <w:rFonts w:asciiTheme="minorHAnsi" w:hAnsiTheme="minorHAnsi"/>
                <w:color w:val="833C0B" w:themeColor="accent2" w:themeShade="80"/>
                <w:sz w:val="20"/>
                <w:szCs w:val="20"/>
              </w:rPr>
              <w:t>, dado pela expressão:</w:t>
            </w:r>
          </w:p>
          <w:p w:rsidR="00C13569" w:rsidRPr="008B5227" w:rsidRDefault="00C13569" w:rsidP="00C13569">
            <w:pPr>
              <w:spacing w:after="0" w:line="240" w:lineRule="auto"/>
              <w:rPr>
                <w:rFonts w:asciiTheme="minorHAnsi" w:hAnsiTheme="minorHAnsi"/>
                <w:color w:val="833C0B" w:themeColor="accent2" w:themeShade="80"/>
                <w:sz w:val="20"/>
                <w:szCs w:val="20"/>
              </w:rPr>
            </w:pPr>
            <w:r w:rsidRPr="008B5227">
              <w:rPr>
                <w:noProof/>
                <w:color w:val="833C0B" w:themeColor="accent2" w:themeShade="80"/>
                <w:lang w:eastAsia="pt-PT"/>
              </w:rPr>
              <w:drawing>
                <wp:inline distT="0" distB="0" distL="0" distR="0">
                  <wp:extent cx="2472690" cy="374650"/>
                  <wp:effectExtent l="0" t="0" r="381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472690" cy="374650"/>
                          </a:xfrm>
                          <a:prstGeom prst="rect">
                            <a:avLst/>
                          </a:prstGeom>
                        </pic:spPr>
                      </pic:pic>
                    </a:graphicData>
                  </a:graphic>
                </wp:inline>
              </w:drawing>
            </w:r>
          </w:p>
          <w:p w:rsidR="00C13569" w:rsidRPr="008B5227" w:rsidRDefault="00C13569" w:rsidP="00C13569">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 determinação do comprimento da encosta através do Mapa do Sentido dos Fluxos tem que ser aferida em função do comprimento máximo da encosta verificada no território. Assim, determinado o comprimento máximo da encosta existente no concelho, e calculado o número de pixéis correspondente, deve aplicar-se uma condição que estabeleça aquele valor como o valor máximo de pixéis a considerar para efeitos de cálculo. Ou seja, caso o valor determinado através do Mapa do Sentido dos Fluxos apresente valores superiores ao máximo de pixéis estabelecido atribui-se este valor.</w:t>
            </w:r>
          </w:p>
          <w:p w:rsidR="00C13569" w:rsidRPr="008B5227" w:rsidRDefault="00C13569" w:rsidP="00C13569">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Tal correção torna-se necessária para minimizar o erro associado a este parâmetro, uma vez que o fluxo acumulado dá, apenas, a noção dos pixéis acumulados e não do comprimento real da vertente. Assim, ao aplicar-se esta condição, não são contabilizadas as áreas de fundos de vale que apresentam os maiores valores de acumulação, ao refletirem a acumulação do fluxo de todo o sector a montante.</w:t>
            </w:r>
          </w:p>
          <w:p w:rsidR="00C13569" w:rsidRPr="008B5227" w:rsidRDefault="00C13569" w:rsidP="00C13569">
            <w:pPr>
              <w:spacing w:after="0" w:line="240" w:lineRule="auto"/>
              <w:rPr>
                <w:rFonts w:asciiTheme="minorHAnsi" w:hAnsiTheme="minorHAnsi"/>
                <w:color w:val="833C0B" w:themeColor="accent2" w:themeShade="80"/>
                <w:sz w:val="20"/>
                <w:szCs w:val="20"/>
              </w:rPr>
            </w:pPr>
          </w:p>
          <w:p w:rsidR="00E90857" w:rsidRPr="008B5227" w:rsidRDefault="000F495B" w:rsidP="00290FF3">
            <w:pPr>
              <w:pStyle w:val="PargrafodaLista"/>
              <w:numPr>
                <w:ilvl w:val="0"/>
                <w:numId w:val="17"/>
              </w:numPr>
              <w:spacing w:after="0" w:line="240" w:lineRule="auto"/>
              <w:rPr>
                <w:rFonts w:asciiTheme="minorHAnsi" w:hAnsiTheme="minorHAnsi"/>
                <w:b/>
                <w:color w:val="833C0B" w:themeColor="accent2" w:themeShade="80"/>
                <w:sz w:val="20"/>
                <w:szCs w:val="20"/>
              </w:rPr>
            </w:pPr>
            <w:r w:rsidRPr="008B5227">
              <w:rPr>
                <w:rFonts w:asciiTheme="minorHAnsi" w:hAnsiTheme="minorHAnsi"/>
                <w:b/>
                <w:color w:val="833C0B" w:themeColor="accent2" w:themeShade="80"/>
                <w:sz w:val="20"/>
                <w:szCs w:val="20"/>
              </w:rPr>
              <w:t>Fator relativo ao tipo de culturas - C</w:t>
            </w:r>
          </w:p>
          <w:p w:rsidR="00C36FFE" w:rsidRPr="008B5227" w:rsidRDefault="00C36FFE" w:rsidP="00290FF3">
            <w:pPr>
              <w:pStyle w:val="PargrafodaLista"/>
              <w:numPr>
                <w:ilvl w:val="0"/>
                <w:numId w:val="17"/>
              </w:numPr>
              <w:spacing w:after="0" w:line="240" w:lineRule="auto"/>
              <w:rPr>
                <w:rFonts w:asciiTheme="minorHAnsi" w:hAnsiTheme="minorHAnsi"/>
                <w:b/>
                <w:color w:val="833C0B" w:themeColor="accent2" w:themeShade="80"/>
                <w:sz w:val="20"/>
                <w:szCs w:val="20"/>
              </w:rPr>
            </w:pPr>
            <w:r w:rsidRPr="008B5227">
              <w:rPr>
                <w:rFonts w:asciiTheme="minorHAnsi" w:hAnsiTheme="minorHAnsi"/>
                <w:b/>
                <w:color w:val="833C0B" w:themeColor="accent2" w:themeShade="80"/>
                <w:sz w:val="20"/>
                <w:szCs w:val="20"/>
              </w:rPr>
              <w:t>Fator antrópico - P</w:t>
            </w:r>
          </w:p>
          <w:p w:rsidR="00C36FFE" w:rsidRPr="008B5227" w:rsidRDefault="00C36FFE" w:rsidP="00C36FFE">
            <w:pPr>
              <w:spacing w:after="0" w:line="240" w:lineRule="auto"/>
              <w:rPr>
                <w:rFonts w:asciiTheme="minorHAnsi" w:hAnsiTheme="minorHAnsi"/>
                <w:color w:val="833C0B" w:themeColor="accent2" w:themeShade="80"/>
                <w:sz w:val="20"/>
                <w:szCs w:val="20"/>
              </w:rPr>
            </w:pPr>
          </w:p>
          <w:p w:rsidR="00C36FFE" w:rsidRPr="008B5227" w:rsidRDefault="00C36FFE" w:rsidP="00C36FFE">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 aplicação dos fatores e ao território municipal apresenta limitações.</w:t>
            </w:r>
            <w:r w:rsidRPr="008B5227">
              <w:rPr>
                <w:rFonts w:ascii="Times New Roman" w:eastAsiaTheme="minorHAnsi" w:hAnsi="Times New Roman"/>
                <w:color w:val="833C0B" w:themeColor="accent2" w:themeShade="80"/>
                <w:sz w:val="24"/>
                <w:szCs w:val="24"/>
              </w:rPr>
              <w:t xml:space="preserve"> </w:t>
            </w:r>
            <w:r w:rsidRPr="008B5227">
              <w:rPr>
                <w:rFonts w:asciiTheme="minorHAnsi" w:hAnsiTheme="minorHAnsi"/>
                <w:color w:val="833C0B" w:themeColor="accent2" w:themeShade="80"/>
                <w:sz w:val="20"/>
                <w:szCs w:val="20"/>
              </w:rPr>
              <w:t xml:space="preserve">Salientam-se a heterogeneidade dos territórios, a mutabilidade do fator (que espelha a situação no momento da aplicação da metodologia), a ausência de informação sobre práticas culturais, a ocorrência de fenómenos imponderáveis, bem como a dificuldade de isolar manchas homogéneas de densidade populacional no concelho.  </w:t>
            </w:r>
          </w:p>
          <w:p w:rsidR="00C36FFE" w:rsidRPr="008B5227" w:rsidRDefault="00C36FFE" w:rsidP="00C36FFE">
            <w:pPr>
              <w:spacing w:after="0" w:line="240" w:lineRule="auto"/>
              <w:rPr>
                <w:rFonts w:asciiTheme="minorHAnsi" w:hAnsiTheme="minorHAnsi"/>
                <w:color w:val="833C0B" w:themeColor="accent2" w:themeShade="80"/>
                <w:sz w:val="20"/>
                <w:szCs w:val="20"/>
              </w:rPr>
            </w:pPr>
          </w:p>
          <w:p w:rsidR="00E90857" w:rsidRPr="008B5227" w:rsidRDefault="00C36FFE" w:rsidP="00C36FFE">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Assim, na impossibilidade de determinar um valor que traduza a mutabilidade e heterogeneidade associada aos fatores relacionados com a ocupação do solo e a atividade humana, estes fatores assumem, cada um, com carácter preventivo, </w:t>
            </w:r>
            <w:r w:rsidRPr="008B5227">
              <w:rPr>
                <w:rFonts w:asciiTheme="minorHAnsi" w:hAnsiTheme="minorHAnsi"/>
                <w:b/>
                <w:color w:val="833C0B" w:themeColor="accent2" w:themeShade="80"/>
                <w:sz w:val="20"/>
                <w:szCs w:val="20"/>
              </w:rPr>
              <w:t>um valor constante que não afeta o resultado das restantes variáveis (valor de 1).</w:t>
            </w:r>
          </w:p>
          <w:p w:rsidR="00E90857" w:rsidRPr="008B5227" w:rsidRDefault="00E90857" w:rsidP="00C13569">
            <w:pPr>
              <w:spacing w:after="0" w:line="240" w:lineRule="auto"/>
              <w:rPr>
                <w:rFonts w:asciiTheme="minorHAnsi" w:hAnsiTheme="minorHAnsi"/>
                <w:color w:val="833C0B" w:themeColor="accent2" w:themeShade="80"/>
                <w:sz w:val="20"/>
                <w:szCs w:val="20"/>
              </w:rPr>
            </w:pPr>
          </w:p>
          <w:p w:rsidR="00D65575" w:rsidRPr="008B5227" w:rsidRDefault="00D65575" w:rsidP="00D65575">
            <w:pPr>
              <w:spacing w:after="0" w:line="240" w:lineRule="auto"/>
              <w:rPr>
                <w:rFonts w:asciiTheme="minorHAnsi" w:hAnsiTheme="minorHAnsi"/>
                <w:b/>
                <w:color w:val="833C0B" w:themeColor="accent2" w:themeShade="80"/>
                <w:sz w:val="20"/>
                <w:szCs w:val="20"/>
              </w:rPr>
            </w:pPr>
            <w:r w:rsidRPr="008B5227">
              <w:rPr>
                <w:rFonts w:asciiTheme="minorHAnsi" w:hAnsiTheme="minorHAnsi"/>
                <w:b/>
                <w:color w:val="833C0B" w:themeColor="accent2" w:themeShade="80"/>
                <w:sz w:val="20"/>
                <w:szCs w:val="20"/>
              </w:rPr>
              <w:t>Razão de Cedência de Sedimentos (SDR)</w:t>
            </w:r>
          </w:p>
          <w:p w:rsidR="00AA38D0" w:rsidRPr="008B5227" w:rsidRDefault="00AA38D0" w:rsidP="00AA38D0">
            <w:pPr>
              <w:spacing w:after="0" w:line="240" w:lineRule="auto"/>
              <w:rPr>
                <w:rFonts w:asciiTheme="minorHAnsi" w:hAnsiTheme="minorHAnsi"/>
                <w:color w:val="833C0B" w:themeColor="accent2" w:themeShade="80"/>
                <w:sz w:val="20"/>
                <w:szCs w:val="20"/>
              </w:rPr>
            </w:pPr>
            <w:proofErr w:type="spellStart"/>
            <w:r w:rsidRPr="008B5227">
              <w:rPr>
                <w:rFonts w:asciiTheme="minorHAnsi" w:hAnsiTheme="minorHAnsi"/>
                <w:color w:val="833C0B" w:themeColor="accent2" w:themeShade="80"/>
                <w:sz w:val="20"/>
                <w:szCs w:val="20"/>
              </w:rPr>
              <w:t>Ab</w:t>
            </w:r>
            <w:proofErr w:type="spellEnd"/>
            <w:r w:rsidRPr="008B5227">
              <w:rPr>
                <w:rFonts w:asciiTheme="minorHAnsi" w:hAnsiTheme="minorHAnsi"/>
                <w:color w:val="833C0B" w:themeColor="accent2" w:themeShade="80"/>
                <w:sz w:val="20"/>
                <w:szCs w:val="20"/>
              </w:rPr>
              <w:t xml:space="preserve"> é o valor da área de drenagem, em km</w:t>
            </w:r>
            <w:r w:rsidRPr="008B5227">
              <w:rPr>
                <w:rFonts w:asciiTheme="minorHAnsi" w:hAnsiTheme="minorHAnsi"/>
                <w:color w:val="833C0B" w:themeColor="accent2" w:themeShade="80"/>
                <w:sz w:val="20"/>
                <w:szCs w:val="20"/>
                <w:vertAlign w:val="superscript"/>
              </w:rPr>
              <w:t>2</w:t>
            </w:r>
            <w:r w:rsidRPr="008B5227">
              <w:rPr>
                <w:rFonts w:asciiTheme="minorHAnsi" w:hAnsiTheme="minorHAnsi"/>
                <w:color w:val="833C0B" w:themeColor="accent2" w:themeShade="80"/>
                <w:sz w:val="20"/>
                <w:szCs w:val="20"/>
              </w:rPr>
              <w:t xml:space="preserve">,calculado a partir do Mapa do Sentido dos </w:t>
            </w:r>
            <w:r w:rsidRPr="008B5227">
              <w:rPr>
                <w:rFonts w:asciiTheme="minorHAnsi" w:hAnsiTheme="minorHAnsi"/>
                <w:color w:val="833C0B" w:themeColor="accent2" w:themeShade="80"/>
                <w:sz w:val="20"/>
                <w:szCs w:val="20"/>
              </w:rPr>
              <w:lastRenderedPageBreak/>
              <w:t>Fluxos criado a partir de um</w:t>
            </w:r>
            <w:r w:rsidRPr="008B5227">
              <w:rPr>
                <w:color w:val="833C0B" w:themeColor="accent2" w:themeShade="80"/>
              </w:rPr>
              <w:t xml:space="preserve"> </w:t>
            </w:r>
            <w:r w:rsidRPr="008B5227">
              <w:rPr>
                <w:rFonts w:asciiTheme="minorHAnsi" w:hAnsiTheme="minorHAnsi"/>
                <w:color w:val="833C0B" w:themeColor="accent2" w:themeShade="80"/>
                <w:sz w:val="20"/>
                <w:szCs w:val="20"/>
              </w:rPr>
              <w:t>MNE com pixéis de 5 m ou 10 m de lado.</w:t>
            </w:r>
          </w:p>
          <w:p w:rsidR="00AA38D0" w:rsidRPr="008B5227" w:rsidRDefault="00AA38D0" w:rsidP="00AA38D0">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Considerando que área de drenagem (expressa em km2) corresponde à bacia do pixel, o seu valor, para cada pixel, é determinado pelo produto entre:</w:t>
            </w:r>
          </w:p>
          <w:p w:rsidR="00AA38D0" w:rsidRPr="008B5227" w:rsidRDefault="00AA38D0" w:rsidP="00AA38D0">
            <w:pPr>
              <w:spacing w:after="0" w:line="240" w:lineRule="auto"/>
              <w:ind w:left="292"/>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o número de pixéis /células acumulado, desde o sector mais a montante, que drenam para o pixel/célula em questão;</w:t>
            </w:r>
          </w:p>
          <w:p w:rsidR="00AA38D0" w:rsidRPr="008B5227" w:rsidRDefault="00AA38D0" w:rsidP="00AA38D0">
            <w:pPr>
              <w:spacing w:after="0" w:line="240" w:lineRule="auto"/>
              <w:ind w:left="292"/>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o valor da área do pixel.</w:t>
            </w:r>
          </w:p>
          <w:p w:rsidR="002C40C5" w:rsidRPr="008B5227" w:rsidRDefault="002C40C5" w:rsidP="002C40C5">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A área </w:t>
            </w:r>
            <w:proofErr w:type="spellStart"/>
            <w:r w:rsidRPr="008B5227">
              <w:rPr>
                <w:rFonts w:asciiTheme="minorHAnsi" w:hAnsiTheme="minorHAnsi"/>
                <w:color w:val="833C0B" w:themeColor="accent2" w:themeShade="80"/>
                <w:sz w:val="20"/>
                <w:szCs w:val="20"/>
              </w:rPr>
              <w:t>Ab</w:t>
            </w:r>
            <w:proofErr w:type="spellEnd"/>
            <w:r w:rsidRPr="008B5227">
              <w:rPr>
                <w:rFonts w:asciiTheme="minorHAnsi" w:hAnsiTheme="minorHAnsi"/>
                <w:color w:val="833C0B" w:themeColor="accent2" w:themeShade="80"/>
                <w:sz w:val="20"/>
                <w:szCs w:val="20"/>
              </w:rPr>
              <w:t xml:space="preserve"> deve ter em conta a área da bacia pertencente à vertente do concelho adjacente, como forma de garantir a continuidade territorial desta tipologia de áreas da REN. Isto é, para efeito do cálculo da área do pixel, a topografia utilizada para o concelho poderá ser complementada com outra fonte de informação que abranja o concelho limítrofe.</w:t>
            </w:r>
          </w:p>
          <w:p w:rsidR="002C40C5" w:rsidRPr="008B5227" w:rsidRDefault="002C40C5" w:rsidP="002C40C5">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O valor SDR de varia entre 0 e 1, devendo assumir o valor 1 sempre que do cálculo do SDR resulte um valor igual ou superior a 1.</w:t>
            </w:r>
          </w:p>
          <w:p w:rsidR="00D65575" w:rsidRPr="008B5227" w:rsidRDefault="00D65575" w:rsidP="00C13569">
            <w:pPr>
              <w:spacing w:after="0" w:line="240" w:lineRule="auto"/>
              <w:rPr>
                <w:rFonts w:asciiTheme="minorHAnsi" w:hAnsiTheme="minorHAnsi"/>
                <w:color w:val="833C0B" w:themeColor="accent2" w:themeShade="80"/>
                <w:sz w:val="20"/>
                <w:szCs w:val="20"/>
              </w:rPr>
            </w:pPr>
          </w:p>
          <w:p w:rsidR="002C40C5" w:rsidRPr="008B5227" w:rsidRDefault="002C40C5" w:rsidP="00C13569">
            <w:pPr>
              <w:spacing w:after="0" w:line="240" w:lineRule="auto"/>
              <w:rPr>
                <w:rFonts w:asciiTheme="minorHAnsi" w:hAnsiTheme="minorHAnsi"/>
                <w:color w:val="833C0B" w:themeColor="accent2" w:themeShade="80"/>
                <w:sz w:val="20"/>
                <w:szCs w:val="20"/>
              </w:rPr>
            </w:pPr>
          </w:p>
          <w:p w:rsidR="00C13569" w:rsidRPr="008B5227" w:rsidRDefault="00C13569" w:rsidP="00C13569">
            <w:pPr>
              <w:spacing w:after="0" w:line="240" w:lineRule="auto"/>
              <w:rPr>
                <w:rFonts w:asciiTheme="minorHAnsi" w:hAnsiTheme="minorHAnsi"/>
                <w:b/>
                <w:color w:val="833C0B" w:themeColor="accent2" w:themeShade="80"/>
                <w:sz w:val="20"/>
                <w:szCs w:val="20"/>
              </w:rPr>
            </w:pPr>
            <w:r w:rsidRPr="008B5227">
              <w:rPr>
                <w:rFonts w:asciiTheme="minorHAnsi" w:hAnsiTheme="minorHAnsi"/>
                <w:b/>
                <w:color w:val="833C0B" w:themeColor="accent2" w:themeShade="80"/>
                <w:sz w:val="20"/>
                <w:szCs w:val="20"/>
              </w:rPr>
              <w:t>Perda de Solo Especifico (</w:t>
            </w:r>
            <w:proofErr w:type="spellStart"/>
            <w:r w:rsidRPr="008B5227">
              <w:rPr>
                <w:rFonts w:asciiTheme="minorHAnsi" w:hAnsiTheme="minorHAnsi"/>
                <w:b/>
                <w:color w:val="833C0B" w:themeColor="accent2" w:themeShade="80"/>
                <w:sz w:val="20"/>
                <w:szCs w:val="20"/>
              </w:rPr>
              <w:t>Pse</w:t>
            </w:r>
            <w:proofErr w:type="spellEnd"/>
            <w:r w:rsidRPr="008B5227">
              <w:rPr>
                <w:rFonts w:asciiTheme="minorHAnsi" w:hAnsiTheme="minorHAnsi"/>
                <w:b/>
                <w:color w:val="833C0B" w:themeColor="accent2" w:themeShade="80"/>
                <w:sz w:val="20"/>
                <w:szCs w:val="20"/>
              </w:rPr>
              <w:t>)</w:t>
            </w:r>
          </w:p>
          <w:p w:rsidR="00C13569" w:rsidRPr="008B5227" w:rsidRDefault="00C13569" w:rsidP="00C13569">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As áreas obtidas são posteriormente ajustadas à topografia do terreno e o resultado sujeito a processos de generalização tendo por referência o valor de área de 1 hectare.</w:t>
            </w:r>
          </w:p>
          <w:p w:rsidR="00C13569" w:rsidRPr="008B5227" w:rsidRDefault="00C13569" w:rsidP="00C13569">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 utilização de métodos automáticos de generalização não exclui a necessidade de interpretação visual dos resultados face ao território em presença, e tendo presentes os objetivos da REN e a operacionalização da sua gestão.</w:t>
            </w:r>
          </w:p>
          <w:p w:rsidR="00C13569" w:rsidRPr="008B5227" w:rsidRDefault="00C13569" w:rsidP="00C13569">
            <w:pPr>
              <w:spacing w:after="0" w:line="240" w:lineRule="auto"/>
              <w:rPr>
                <w:rFonts w:asciiTheme="minorHAnsi" w:hAnsiTheme="minorHAnsi"/>
                <w:color w:val="833C0B" w:themeColor="accent2" w:themeShade="80"/>
                <w:sz w:val="20"/>
                <w:szCs w:val="20"/>
              </w:rPr>
            </w:pPr>
          </w:p>
          <w:p w:rsidR="00C13569" w:rsidRPr="008B5227" w:rsidRDefault="00C13569" w:rsidP="00C13569">
            <w:pPr>
              <w:spacing w:after="0" w:line="240" w:lineRule="auto"/>
              <w:rPr>
                <w:rFonts w:asciiTheme="minorHAnsi" w:hAnsiTheme="minorHAnsi"/>
                <w:color w:val="833C0B" w:themeColor="accent2" w:themeShade="80"/>
                <w:sz w:val="20"/>
                <w:szCs w:val="20"/>
                <w:u w:val="single"/>
              </w:rPr>
            </w:pPr>
            <w:r w:rsidRPr="008B5227">
              <w:rPr>
                <w:rFonts w:asciiTheme="minorHAnsi" w:hAnsiTheme="minorHAnsi"/>
                <w:color w:val="833C0B" w:themeColor="accent2" w:themeShade="80"/>
                <w:sz w:val="20"/>
                <w:szCs w:val="20"/>
                <w:u w:val="single"/>
              </w:rPr>
              <w:t>Integração na Reserva Ecológica Nacional</w:t>
            </w:r>
          </w:p>
          <w:p w:rsidR="00C13569" w:rsidRPr="008B5227" w:rsidRDefault="00C13569" w:rsidP="00C13569">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São REN as áreas com </w:t>
            </w:r>
            <w:proofErr w:type="spellStart"/>
            <w:r w:rsidRPr="008B5227">
              <w:rPr>
                <w:rFonts w:asciiTheme="minorHAnsi" w:hAnsiTheme="minorHAnsi"/>
                <w:color w:val="833C0B" w:themeColor="accent2" w:themeShade="80"/>
                <w:sz w:val="20"/>
                <w:szCs w:val="20"/>
              </w:rPr>
              <w:t>Pse</w:t>
            </w:r>
            <w:proofErr w:type="spellEnd"/>
            <w:r w:rsidRPr="008B5227">
              <w:rPr>
                <w:rFonts w:asciiTheme="minorHAnsi" w:hAnsiTheme="minorHAnsi"/>
                <w:color w:val="833C0B" w:themeColor="accent2" w:themeShade="80"/>
                <w:sz w:val="20"/>
                <w:szCs w:val="20"/>
              </w:rPr>
              <w:t xml:space="preserve"> maior ou igual a 25 </w:t>
            </w:r>
            <w:proofErr w:type="spellStart"/>
            <w:r w:rsidRPr="008B5227">
              <w:rPr>
                <w:rFonts w:asciiTheme="minorHAnsi" w:hAnsiTheme="minorHAnsi"/>
                <w:color w:val="833C0B" w:themeColor="accent2" w:themeShade="80"/>
                <w:sz w:val="20"/>
                <w:szCs w:val="20"/>
              </w:rPr>
              <w:t>ton</w:t>
            </w:r>
            <w:proofErr w:type="spellEnd"/>
            <w:r w:rsidRPr="008B5227">
              <w:rPr>
                <w:rFonts w:asciiTheme="minorHAnsi" w:hAnsiTheme="minorHAnsi"/>
                <w:color w:val="833C0B" w:themeColor="accent2" w:themeShade="80"/>
                <w:sz w:val="20"/>
                <w:szCs w:val="20"/>
              </w:rPr>
              <w:t>/</w:t>
            </w:r>
            <w:proofErr w:type="spellStart"/>
            <w:r w:rsidRPr="008B5227">
              <w:rPr>
                <w:rFonts w:asciiTheme="minorHAnsi" w:hAnsiTheme="minorHAnsi"/>
                <w:color w:val="833C0B" w:themeColor="accent2" w:themeShade="80"/>
                <w:sz w:val="20"/>
                <w:szCs w:val="20"/>
              </w:rPr>
              <w:t>ha.ano</w:t>
            </w:r>
            <w:proofErr w:type="spellEnd"/>
            <w:r w:rsidRPr="008B5227">
              <w:rPr>
                <w:rFonts w:asciiTheme="minorHAnsi" w:hAnsiTheme="minorHAnsi"/>
                <w:color w:val="833C0B" w:themeColor="accent2" w:themeShade="80"/>
                <w:sz w:val="20"/>
                <w:szCs w:val="20"/>
              </w:rPr>
              <w:t>, bem como as que apresentem valores inferiores mas sejam necessárias à estabilidade e compacidade das anteriores85.</w:t>
            </w:r>
          </w:p>
          <w:p w:rsidR="00C13569" w:rsidRPr="008B5227" w:rsidRDefault="00C13569" w:rsidP="00C13569">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 continuidade das áreas REN é fundamental à garantia do carácter sistémico desta estrutura biofísica, bem como à prossecução do objetivo de salvaguarda do recurso solo.</w:t>
            </w:r>
          </w:p>
          <w:p w:rsidR="00A42530" w:rsidRPr="008B5227" w:rsidRDefault="00C13569" w:rsidP="00A42530">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Assim, os vazios no interior das áreas de elevado risco de erosão hídrica do solo são incluídos na REN. Na mesma ordem de ideias, deve ser ponderada a não integração de</w:t>
            </w:r>
            <w:r w:rsidR="00A42530" w:rsidRPr="008B5227">
              <w:rPr>
                <w:rFonts w:asciiTheme="minorHAnsi" w:hAnsiTheme="minorHAnsi"/>
                <w:color w:val="833C0B" w:themeColor="accent2" w:themeShade="80"/>
                <w:sz w:val="20"/>
                <w:szCs w:val="20"/>
              </w:rPr>
              <w:t xml:space="preserve"> áreas isoladas que tenham dimensão inferior a 1 hectare, com exceção de áreas que, em resultado da sua proximidade, tenham em conjunto uma dimensão superior.</w:t>
            </w:r>
          </w:p>
          <w:p w:rsidR="00A42530" w:rsidRPr="008B5227" w:rsidRDefault="00A42530" w:rsidP="00A42530">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Não são integradas as áreas associadas a taludes de vias e a arribas.</w:t>
            </w:r>
          </w:p>
          <w:p w:rsidR="00C13569" w:rsidRPr="008B5227" w:rsidRDefault="00A42530" w:rsidP="00A42530">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Sem prejuízo da apresentação das cartas/cartogramas que explicitam a aplicação da metodologia e da delimitação proposta, são </w:t>
            </w:r>
            <w:r w:rsidRPr="008B5227">
              <w:rPr>
                <w:rFonts w:asciiTheme="minorHAnsi" w:hAnsiTheme="minorHAnsi"/>
                <w:color w:val="833C0B" w:themeColor="accent2" w:themeShade="80"/>
                <w:sz w:val="20"/>
                <w:szCs w:val="20"/>
              </w:rPr>
              <w:lastRenderedPageBreak/>
              <w:t>apresentadas as cartas ilustrativas da erosão específica do solo e da perda de solo específico, para os valores 55, 25 e 11, e carta da razão de cedência dos sedimentos.</w:t>
            </w:r>
          </w:p>
          <w:p w:rsidR="00C13569" w:rsidRPr="008B5227" w:rsidRDefault="00C13569" w:rsidP="00422172">
            <w:pPr>
              <w:spacing w:after="0" w:line="240" w:lineRule="auto"/>
              <w:rPr>
                <w:rFonts w:asciiTheme="minorHAnsi" w:hAnsiTheme="minorHAnsi"/>
                <w:color w:val="833C0B" w:themeColor="accent2" w:themeShade="80"/>
                <w:sz w:val="20"/>
                <w:szCs w:val="20"/>
              </w:rPr>
            </w:pPr>
          </w:p>
        </w:tc>
        <w:tc>
          <w:tcPr>
            <w:tcW w:w="4110" w:type="dxa"/>
          </w:tcPr>
          <w:p w:rsidR="00422172"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lastRenderedPageBreak/>
              <w:t>A identificação das áreas de elevado risco de erosão hídrica do solo tem por base a aplicação da Equação Universal de Perda do Solo (EUPS) com as adaptações necessárias à sua utilização em Portugal continental e aplicação à unidade de gestão territorial bacia hidrográfica.</w:t>
            </w:r>
          </w:p>
          <w:p w:rsidR="00E90857" w:rsidRDefault="00E90857" w:rsidP="00422172">
            <w:pPr>
              <w:spacing w:after="0" w:line="240" w:lineRule="auto"/>
              <w:rPr>
                <w:rFonts w:asciiTheme="minorHAnsi" w:hAnsiTheme="minorHAnsi"/>
                <w:color w:val="BF8F00" w:themeColor="accent4" w:themeShade="BF"/>
                <w:sz w:val="20"/>
                <w:szCs w:val="20"/>
              </w:rPr>
            </w:pPr>
          </w:p>
          <w:p w:rsidR="00E90857" w:rsidRDefault="00E90857"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 xml:space="preserve">Para o fator antrópico, à escala NUT3, segue-se a recomendação técnica da APA/CNREN (2013), e </w:t>
            </w:r>
            <w:r w:rsidRPr="00290FF3">
              <w:rPr>
                <w:rFonts w:asciiTheme="minorHAnsi" w:hAnsiTheme="minorHAnsi"/>
                <w:b/>
                <w:color w:val="BF8F00" w:themeColor="accent4" w:themeShade="BF"/>
                <w:sz w:val="20"/>
                <w:szCs w:val="20"/>
              </w:rPr>
              <w:t>considera-se o valor 1</w:t>
            </w:r>
            <w:r w:rsidRPr="00C138AF">
              <w:rPr>
                <w:rFonts w:asciiTheme="minorHAnsi" w:hAnsiTheme="minorHAnsi"/>
                <w:color w:val="BF8F00" w:themeColor="accent4" w:themeShade="BF"/>
                <w:sz w:val="20"/>
                <w:szCs w:val="20"/>
              </w:rPr>
              <w:t xml:space="preserve"> em todo o território analisado.</w:t>
            </w:r>
          </w:p>
          <w:p w:rsidR="00E90857" w:rsidRPr="00C138AF" w:rsidRDefault="00E90857" w:rsidP="00422172">
            <w:pPr>
              <w:spacing w:after="0" w:line="240" w:lineRule="auto"/>
              <w:rPr>
                <w:rFonts w:asciiTheme="minorHAnsi" w:hAnsiTheme="minorHAnsi"/>
                <w:color w:val="BF8F00" w:themeColor="accent4" w:themeShade="BF"/>
                <w:sz w:val="20"/>
                <w:szCs w:val="20"/>
              </w:rPr>
            </w:pP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 xml:space="preserve">De salientar, ainda, que na região Alentejo em particular, é especialmente observado o facto risco de desertificação que pode </w:t>
            </w:r>
            <w:r w:rsidRPr="00290FF3">
              <w:rPr>
                <w:rFonts w:asciiTheme="minorHAnsi" w:hAnsiTheme="minorHAnsi"/>
                <w:b/>
                <w:color w:val="BF8F00" w:themeColor="accent4" w:themeShade="BF"/>
                <w:sz w:val="20"/>
                <w:szCs w:val="20"/>
              </w:rPr>
              <w:t>conduzir à adoção de limiares inferiores aos indicados pelas orientações estratégicas de âmbito nacional e regional no que se refere à perda de solo.</w:t>
            </w:r>
          </w:p>
          <w:p w:rsidR="00422172" w:rsidRPr="00C138AF" w:rsidRDefault="00422172" w:rsidP="00422172">
            <w:pPr>
              <w:spacing w:after="0" w:line="240" w:lineRule="auto"/>
              <w:rPr>
                <w:rFonts w:asciiTheme="minorHAnsi" w:hAnsiTheme="minorHAnsi"/>
                <w:color w:val="BF8F00" w:themeColor="accent4" w:themeShade="BF"/>
                <w:sz w:val="20"/>
                <w:szCs w:val="20"/>
              </w:rPr>
            </w:pPr>
          </w:p>
        </w:tc>
        <w:tc>
          <w:tcPr>
            <w:tcW w:w="4110" w:type="dxa"/>
          </w:tcPr>
          <w:p w:rsidR="0087611E" w:rsidRDefault="0087611E" w:rsidP="00903638">
            <w:pPr>
              <w:spacing w:after="0" w:line="240" w:lineRule="auto"/>
              <w:rPr>
                <w:rFonts w:asciiTheme="minorHAnsi" w:hAnsiTheme="minorHAnsi"/>
                <w:color w:val="C45911" w:themeColor="accent2" w:themeShade="BF"/>
                <w:sz w:val="20"/>
                <w:szCs w:val="20"/>
              </w:rPr>
            </w:pPr>
            <w:r w:rsidRPr="0087611E">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áginas 80 a 82</w:t>
            </w:r>
            <w:r w:rsidRPr="0087611E">
              <w:rPr>
                <w:rFonts w:asciiTheme="minorHAnsi" w:hAnsiTheme="minorHAnsi"/>
                <w:i/>
                <w:color w:val="C45911" w:themeColor="accent2" w:themeShade="BF"/>
                <w:sz w:val="20"/>
                <w:szCs w:val="20"/>
              </w:rPr>
              <w:t>.</w:t>
            </w:r>
          </w:p>
          <w:p w:rsidR="0087611E" w:rsidRDefault="0087611E" w:rsidP="00903638">
            <w:pPr>
              <w:spacing w:after="0" w:line="240" w:lineRule="auto"/>
              <w:rPr>
                <w:rFonts w:asciiTheme="minorHAnsi" w:hAnsiTheme="minorHAnsi"/>
                <w:color w:val="C45911" w:themeColor="accent2" w:themeShade="BF"/>
                <w:sz w:val="20"/>
                <w:szCs w:val="20"/>
              </w:rPr>
            </w:pPr>
          </w:p>
          <w:p w:rsidR="0087611E" w:rsidRPr="00290FF3" w:rsidRDefault="0087611E" w:rsidP="0087611E">
            <w:pPr>
              <w:spacing w:after="0" w:line="240" w:lineRule="auto"/>
              <w:rPr>
                <w:rFonts w:asciiTheme="minorHAnsi" w:hAnsiTheme="minorHAnsi"/>
                <w:b/>
                <w:color w:val="C45911" w:themeColor="accent2" w:themeShade="BF"/>
                <w:sz w:val="20"/>
                <w:szCs w:val="20"/>
              </w:rPr>
            </w:pPr>
            <w:r w:rsidRPr="00290FF3">
              <w:rPr>
                <w:rFonts w:asciiTheme="minorHAnsi" w:hAnsiTheme="minorHAnsi"/>
                <w:b/>
                <w:color w:val="C45911" w:themeColor="accent2" w:themeShade="BF"/>
                <w:sz w:val="20"/>
                <w:szCs w:val="20"/>
              </w:rPr>
              <w:t>Erosão específica do solo (A)</w:t>
            </w:r>
          </w:p>
          <w:p w:rsidR="0087611E" w:rsidRPr="00290FF3" w:rsidRDefault="0087611E" w:rsidP="008B5227">
            <w:pPr>
              <w:pStyle w:val="PargrafodaLista"/>
              <w:numPr>
                <w:ilvl w:val="0"/>
                <w:numId w:val="17"/>
              </w:numPr>
              <w:spacing w:after="0" w:line="240" w:lineRule="auto"/>
              <w:rPr>
                <w:rFonts w:asciiTheme="minorHAnsi" w:hAnsiTheme="minorHAnsi"/>
                <w:b/>
                <w:color w:val="C45911" w:themeColor="accent2" w:themeShade="BF"/>
                <w:sz w:val="20"/>
                <w:szCs w:val="20"/>
              </w:rPr>
            </w:pPr>
            <w:r w:rsidRPr="00290FF3">
              <w:rPr>
                <w:rFonts w:asciiTheme="minorHAnsi" w:hAnsiTheme="minorHAnsi"/>
                <w:b/>
                <w:color w:val="C45911" w:themeColor="accent2" w:themeShade="BF"/>
                <w:sz w:val="20"/>
                <w:szCs w:val="20"/>
              </w:rPr>
              <w:t>Erosividade da Precipitação – R</w:t>
            </w:r>
          </w:p>
          <w:p w:rsidR="0087611E" w:rsidRDefault="000C1B95" w:rsidP="0087611E">
            <w:pPr>
              <w:spacing w:after="0" w:line="240" w:lineRule="auto"/>
              <w:rPr>
                <w:rFonts w:asciiTheme="minorHAnsi" w:hAnsiTheme="minorHAnsi"/>
                <w:color w:val="C45911" w:themeColor="accent2" w:themeShade="BF"/>
                <w:sz w:val="20"/>
                <w:szCs w:val="20"/>
              </w:rPr>
            </w:pPr>
            <w:r w:rsidRPr="000C1B95">
              <w:rPr>
                <w:rFonts w:asciiTheme="minorHAnsi" w:hAnsiTheme="minorHAnsi"/>
                <w:color w:val="C45911" w:themeColor="accent2" w:themeShade="BF"/>
                <w:sz w:val="20"/>
                <w:szCs w:val="20"/>
              </w:rPr>
              <w:t xml:space="preserve">Baseado nas estimativas realizadas pelo </w:t>
            </w:r>
            <w:proofErr w:type="spellStart"/>
            <w:r w:rsidRPr="000C1B95">
              <w:rPr>
                <w:rFonts w:asciiTheme="minorHAnsi" w:hAnsiTheme="minorHAnsi"/>
                <w:color w:val="C45911" w:themeColor="accent2" w:themeShade="BF"/>
                <w:sz w:val="20"/>
                <w:szCs w:val="20"/>
              </w:rPr>
              <w:t>ex-INAG</w:t>
            </w:r>
            <w:proofErr w:type="spellEnd"/>
            <w:r w:rsidRPr="000C1B95">
              <w:rPr>
                <w:rFonts w:asciiTheme="minorHAnsi" w:hAnsiTheme="minorHAnsi"/>
                <w:color w:val="C45911" w:themeColor="accent2" w:themeShade="BF"/>
                <w:sz w:val="20"/>
                <w:szCs w:val="20"/>
              </w:rPr>
              <w:t xml:space="preserve"> considerando eventos com precipitação total superior a 50,8 mm (2 polegadas), ponderados para as bacias hidrográficas em análise</w:t>
            </w:r>
          </w:p>
          <w:p w:rsidR="0087611E" w:rsidRDefault="0087611E" w:rsidP="0087611E">
            <w:pPr>
              <w:spacing w:after="0" w:line="240" w:lineRule="auto"/>
              <w:rPr>
                <w:rFonts w:asciiTheme="minorHAnsi" w:hAnsiTheme="minorHAnsi"/>
                <w:color w:val="C45911" w:themeColor="accent2" w:themeShade="BF"/>
                <w:sz w:val="20"/>
                <w:szCs w:val="20"/>
              </w:rPr>
            </w:pPr>
          </w:p>
          <w:p w:rsidR="000C1B95" w:rsidRDefault="000C1B95" w:rsidP="0087611E">
            <w:pPr>
              <w:spacing w:after="0" w:line="240" w:lineRule="auto"/>
              <w:rPr>
                <w:rFonts w:asciiTheme="minorHAnsi" w:hAnsiTheme="minorHAnsi"/>
                <w:color w:val="C45911" w:themeColor="accent2" w:themeShade="BF"/>
                <w:sz w:val="20"/>
                <w:szCs w:val="20"/>
              </w:rPr>
            </w:pPr>
          </w:p>
          <w:p w:rsidR="000C1B95" w:rsidRDefault="000C1B95" w:rsidP="0087611E">
            <w:pPr>
              <w:spacing w:after="0" w:line="240" w:lineRule="auto"/>
              <w:rPr>
                <w:rFonts w:asciiTheme="minorHAnsi" w:hAnsiTheme="minorHAnsi"/>
                <w:color w:val="C45911" w:themeColor="accent2" w:themeShade="BF"/>
                <w:sz w:val="20"/>
                <w:szCs w:val="20"/>
              </w:rPr>
            </w:pPr>
          </w:p>
          <w:p w:rsidR="000C1B95" w:rsidRDefault="000C1B95" w:rsidP="0087611E">
            <w:pPr>
              <w:spacing w:after="0" w:line="240" w:lineRule="auto"/>
              <w:rPr>
                <w:rFonts w:asciiTheme="minorHAnsi" w:hAnsiTheme="minorHAnsi"/>
                <w:color w:val="C45911" w:themeColor="accent2" w:themeShade="BF"/>
                <w:sz w:val="20"/>
                <w:szCs w:val="20"/>
              </w:rPr>
            </w:pPr>
          </w:p>
          <w:p w:rsidR="000C1B95" w:rsidRPr="00290FF3" w:rsidRDefault="000C1B95" w:rsidP="008B5227">
            <w:pPr>
              <w:pStyle w:val="PargrafodaLista"/>
              <w:numPr>
                <w:ilvl w:val="0"/>
                <w:numId w:val="17"/>
              </w:numPr>
              <w:spacing w:after="0" w:line="240" w:lineRule="auto"/>
              <w:rPr>
                <w:rFonts w:asciiTheme="minorHAnsi" w:hAnsiTheme="minorHAnsi"/>
                <w:b/>
                <w:color w:val="C45911" w:themeColor="accent2" w:themeShade="BF"/>
                <w:sz w:val="20"/>
                <w:szCs w:val="20"/>
              </w:rPr>
            </w:pPr>
            <w:r w:rsidRPr="00290FF3">
              <w:rPr>
                <w:rFonts w:asciiTheme="minorHAnsi" w:hAnsiTheme="minorHAnsi"/>
                <w:b/>
                <w:color w:val="C45911" w:themeColor="accent2" w:themeShade="BF"/>
                <w:sz w:val="20"/>
                <w:szCs w:val="20"/>
              </w:rPr>
              <w:t>Erodibilidade do Solo – K</w:t>
            </w:r>
          </w:p>
          <w:p w:rsidR="000C1B95" w:rsidRPr="000C1B95" w:rsidRDefault="000C1B95" w:rsidP="000C1B95">
            <w:pPr>
              <w:spacing w:after="0" w:line="240" w:lineRule="auto"/>
              <w:rPr>
                <w:rFonts w:asciiTheme="minorHAnsi" w:hAnsiTheme="minorHAnsi"/>
                <w:bCs/>
                <w:i/>
                <w:color w:val="C45911" w:themeColor="accent2" w:themeShade="BF"/>
                <w:sz w:val="20"/>
                <w:szCs w:val="20"/>
              </w:rPr>
            </w:pPr>
            <w:r w:rsidRPr="000C1B95">
              <w:rPr>
                <w:rFonts w:asciiTheme="minorHAnsi" w:hAnsiTheme="minorHAnsi"/>
                <w:bCs/>
                <w:color w:val="C45911" w:themeColor="accent2" w:themeShade="BF"/>
                <w:sz w:val="20"/>
                <w:szCs w:val="20"/>
              </w:rPr>
              <w:t xml:space="preserve">Fator baseado na correspondência entre a classificação da FAO, na escala de 1:1 000 </w:t>
            </w:r>
            <w:proofErr w:type="spellStart"/>
            <w:r w:rsidRPr="000C1B95">
              <w:rPr>
                <w:rFonts w:asciiTheme="minorHAnsi" w:hAnsiTheme="minorHAnsi"/>
                <w:bCs/>
                <w:color w:val="C45911" w:themeColor="accent2" w:themeShade="BF"/>
                <w:sz w:val="20"/>
                <w:szCs w:val="20"/>
              </w:rPr>
              <w:t>000</w:t>
            </w:r>
            <w:proofErr w:type="spellEnd"/>
            <w:r w:rsidRPr="000C1B95">
              <w:rPr>
                <w:rFonts w:asciiTheme="minorHAnsi" w:hAnsiTheme="minorHAnsi"/>
                <w:bCs/>
                <w:color w:val="C45911" w:themeColor="accent2" w:themeShade="BF"/>
                <w:sz w:val="20"/>
                <w:szCs w:val="20"/>
              </w:rPr>
              <w:t xml:space="preserve">, e o valor de erodibilidade proposto por Pimenta, 1999 em </w:t>
            </w:r>
            <w:hyperlink r:id="rId15" w:history="1">
              <w:proofErr w:type="spellStart"/>
              <w:r w:rsidRPr="00290FF3">
                <w:rPr>
                  <w:rStyle w:val="Hiperligao"/>
                  <w:rFonts w:asciiTheme="minorHAnsi" w:hAnsiTheme="minorHAnsi"/>
                  <w:bCs/>
                  <w:color w:val="auto"/>
                  <w:sz w:val="20"/>
                  <w:szCs w:val="20"/>
                </w:rPr>
                <w:t>Directrizes</w:t>
              </w:r>
              <w:proofErr w:type="spellEnd"/>
              <w:r w:rsidRPr="00290FF3">
                <w:rPr>
                  <w:rStyle w:val="Hiperligao"/>
                  <w:rFonts w:asciiTheme="minorHAnsi" w:hAnsiTheme="minorHAnsi"/>
                  <w:bCs/>
                  <w:color w:val="auto"/>
                  <w:sz w:val="20"/>
                  <w:szCs w:val="20"/>
                </w:rPr>
                <w:t xml:space="preserve"> para a aplicação da Equação Universal de Perda de Solo em SIG</w:t>
              </w:r>
            </w:hyperlink>
            <w:r w:rsidRPr="00290FF3">
              <w:rPr>
                <w:rFonts w:asciiTheme="minorHAnsi" w:hAnsiTheme="minorHAnsi"/>
                <w:bCs/>
                <w:sz w:val="20"/>
                <w:szCs w:val="20"/>
              </w:rPr>
              <w:t xml:space="preserve">, </w:t>
            </w:r>
            <w:r w:rsidRPr="000C1B95">
              <w:rPr>
                <w:rFonts w:asciiTheme="minorHAnsi" w:hAnsiTheme="minorHAnsi"/>
                <w:bCs/>
                <w:color w:val="C45911" w:themeColor="accent2" w:themeShade="BF"/>
                <w:sz w:val="20"/>
                <w:szCs w:val="20"/>
              </w:rPr>
              <w:t>INAG</w:t>
            </w:r>
            <w:r w:rsidRPr="000C1B95">
              <w:rPr>
                <w:rFonts w:asciiTheme="minorHAnsi" w:hAnsiTheme="minorHAnsi"/>
                <w:bCs/>
                <w:i/>
                <w:color w:val="C45911" w:themeColor="accent2" w:themeShade="BF"/>
                <w:sz w:val="20"/>
                <w:szCs w:val="20"/>
              </w:rPr>
              <w:t>.</w:t>
            </w:r>
          </w:p>
          <w:p w:rsidR="000C1B95" w:rsidRDefault="000C1B95" w:rsidP="000C1B95">
            <w:pPr>
              <w:spacing w:after="0" w:line="240" w:lineRule="auto"/>
              <w:rPr>
                <w:rFonts w:asciiTheme="minorHAnsi" w:hAnsiTheme="minorHAnsi"/>
                <w:bCs/>
                <w:i/>
                <w:color w:val="C45911" w:themeColor="accent2" w:themeShade="BF"/>
                <w:sz w:val="20"/>
                <w:szCs w:val="20"/>
              </w:rPr>
            </w:pPr>
          </w:p>
          <w:p w:rsidR="003C48C6" w:rsidRDefault="003C48C6" w:rsidP="000C1B95">
            <w:pPr>
              <w:spacing w:after="0" w:line="240" w:lineRule="auto"/>
              <w:rPr>
                <w:rFonts w:asciiTheme="minorHAnsi" w:hAnsiTheme="minorHAnsi"/>
                <w:bCs/>
                <w:i/>
                <w:color w:val="C45911" w:themeColor="accent2" w:themeShade="BF"/>
                <w:sz w:val="20"/>
                <w:szCs w:val="20"/>
              </w:rPr>
            </w:pPr>
          </w:p>
          <w:p w:rsidR="003C48C6" w:rsidRDefault="003C48C6" w:rsidP="000C1B95">
            <w:pPr>
              <w:spacing w:after="0" w:line="240" w:lineRule="auto"/>
              <w:rPr>
                <w:rFonts w:asciiTheme="minorHAnsi" w:hAnsiTheme="minorHAnsi"/>
                <w:bCs/>
                <w:i/>
                <w:color w:val="C45911" w:themeColor="accent2" w:themeShade="BF"/>
                <w:sz w:val="20"/>
                <w:szCs w:val="20"/>
              </w:rPr>
            </w:pPr>
          </w:p>
          <w:p w:rsidR="003C48C6" w:rsidRDefault="003C48C6" w:rsidP="000C1B95">
            <w:pPr>
              <w:spacing w:after="0" w:line="240" w:lineRule="auto"/>
              <w:rPr>
                <w:rFonts w:asciiTheme="minorHAnsi" w:hAnsiTheme="minorHAnsi"/>
                <w:bCs/>
                <w:i/>
                <w:color w:val="C45911" w:themeColor="accent2" w:themeShade="BF"/>
                <w:sz w:val="20"/>
                <w:szCs w:val="20"/>
              </w:rPr>
            </w:pPr>
          </w:p>
          <w:p w:rsidR="008B5227" w:rsidRPr="000C1B95" w:rsidRDefault="008B5227" w:rsidP="000C1B95">
            <w:pPr>
              <w:spacing w:after="0" w:line="240" w:lineRule="auto"/>
              <w:rPr>
                <w:rFonts w:asciiTheme="minorHAnsi" w:hAnsiTheme="minorHAnsi"/>
                <w:bCs/>
                <w:i/>
                <w:color w:val="C45911" w:themeColor="accent2" w:themeShade="BF"/>
                <w:sz w:val="20"/>
                <w:szCs w:val="20"/>
              </w:rPr>
            </w:pPr>
          </w:p>
          <w:p w:rsidR="000C1B95" w:rsidRPr="00290FF3" w:rsidRDefault="000C1B95" w:rsidP="008B5227">
            <w:pPr>
              <w:pStyle w:val="PargrafodaLista"/>
              <w:numPr>
                <w:ilvl w:val="0"/>
                <w:numId w:val="17"/>
              </w:numPr>
              <w:spacing w:after="0" w:line="240" w:lineRule="auto"/>
              <w:rPr>
                <w:rFonts w:asciiTheme="minorHAnsi" w:hAnsiTheme="minorHAnsi"/>
                <w:b/>
                <w:color w:val="C45911" w:themeColor="accent2" w:themeShade="BF"/>
                <w:sz w:val="20"/>
                <w:szCs w:val="20"/>
              </w:rPr>
            </w:pPr>
            <w:r w:rsidRPr="00290FF3">
              <w:rPr>
                <w:rFonts w:asciiTheme="minorHAnsi" w:hAnsiTheme="minorHAnsi"/>
                <w:b/>
                <w:color w:val="C45911" w:themeColor="accent2" w:themeShade="BF"/>
                <w:sz w:val="20"/>
                <w:szCs w:val="20"/>
              </w:rPr>
              <w:t>Fator Topográfico - LS</w:t>
            </w:r>
          </w:p>
          <w:p w:rsidR="003C48C6" w:rsidRDefault="003C48C6" w:rsidP="003C48C6">
            <w:pPr>
              <w:rPr>
                <w:rFonts w:asciiTheme="minorHAnsi" w:hAnsiTheme="minorHAnsi"/>
                <w:bCs/>
                <w:color w:val="C45911" w:themeColor="accent2" w:themeShade="BF"/>
                <w:sz w:val="20"/>
                <w:szCs w:val="20"/>
              </w:rPr>
            </w:pPr>
            <w:r w:rsidRPr="003C48C6">
              <w:rPr>
                <w:rFonts w:asciiTheme="minorHAnsi" w:hAnsiTheme="minorHAnsi"/>
                <w:bCs/>
                <w:color w:val="C45911" w:themeColor="accent2" w:themeShade="BF"/>
                <w:sz w:val="20"/>
                <w:szCs w:val="20"/>
              </w:rPr>
              <w:t xml:space="preserve">Fator </w:t>
            </w:r>
            <w:proofErr w:type="spellStart"/>
            <w:r w:rsidRPr="003C48C6">
              <w:rPr>
                <w:rFonts w:asciiTheme="minorHAnsi" w:hAnsiTheme="minorHAnsi"/>
                <w:bCs/>
                <w:color w:val="C45911" w:themeColor="accent2" w:themeShade="BF"/>
                <w:sz w:val="20"/>
                <w:szCs w:val="20"/>
              </w:rPr>
              <w:t>adimensional</w:t>
            </w:r>
            <w:proofErr w:type="spellEnd"/>
            <w:r w:rsidRPr="003C48C6">
              <w:rPr>
                <w:rFonts w:asciiTheme="minorHAnsi" w:hAnsiTheme="minorHAnsi"/>
                <w:bCs/>
                <w:color w:val="C45911" w:themeColor="accent2" w:themeShade="BF"/>
                <w:sz w:val="20"/>
                <w:szCs w:val="20"/>
              </w:rPr>
              <w:t xml:space="preserve">, que relaciona (L) o comprimento da encosta com (S) o seu declive, </w:t>
            </w:r>
            <w:r w:rsidRPr="003C48C6">
              <w:rPr>
                <w:rFonts w:asciiTheme="minorHAnsi" w:hAnsiTheme="minorHAnsi"/>
                <w:bCs/>
                <w:color w:val="C45911" w:themeColor="accent2" w:themeShade="BF"/>
                <w:sz w:val="20"/>
                <w:szCs w:val="20"/>
              </w:rPr>
              <w:lastRenderedPageBreak/>
              <w:t xml:space="preserve">aferidos à geometria normalizada dos talhões experimentais (L= </w:t>
            </w:r>
            <w:smartTag w:uri="urn:schemas-microsoft-com:office:smarttags" w:element="metricconverter">
              <w:smartTagPr>
                <w:attr w:name="ProductID" w:val="22,5 m"/>
              </w:smartTagPr>
              <w:r w:rsidRPr="003C48C6">
                <w:rPr>
                  <w:rFonts w:asciiTheme="minorHAnsi" w:hAnsiTheme="minorHAnsi"/>
                  <w:bCs/>
                  <w:color w:val="C45911" w:themeColor="accent2" w:themeShade="BF"/>
                  <w:sz w:val="20"/>
                  <w:szCs w:val="20"/>
                </w:rPr>
                <w:t>22,5 m</w:t>
              </w:r>
            </w:smartTag>
            <w:r w:rsidRPr="003C48C6">
              <w:rPr>
                <w:rFonts w:asciiTheme="minorHAnsi" w:hAnsiTheme="minorHAnsi"/>
                <w:bCs/>
                <w:color w:val="C45911" w:themeColor="accent2" w:themeShade="BF"/>
                <w:sz w:val="20"/>
                <w:szCs w:val="20"/>
              </w:rPr>
              <w:t xml:space="preserve"> e S= 9%).</w:t>
            </w: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bCs/>
                <w:color w:val="C45911" w:themeColor="accent2" w:themeShade="BF"/>
                <w:sz w:val="20"/>
                <w:szCs w:val="20"/>
              </w:rPr>
            </w:pPr>
          </w:p>
          <w:p w:rsidR="008B5227" w:rsidRDefault="008B5227" w:rsidP="003C48C6">
            <w:pPr>
              <w:rPr>
                <w:rFonts w:asciiTheme="minorHAnsi" w:hAnsiTheme="minorHAnsi"/>
                <w:bCs/>
                <w:color w:val="C45911" w:themeColor="accent2" w:themeShade="BF"/>
                <w:sz w:val="20"/>
                <w:szCs w:val="20"/>
              </w:rPr>
            </w:pPr>
          </w:p>
          <w:p w:rsidR="003C48C6" w:rsidRDefault="003C48C6" w:rsidP="003C48C6">
            <w:pPr>
              <w:rPr>
                <w:rFonts w:asciiTheme="minorHAnsi" w:hAnsiTheme="minorHAnsi"/>
                <w:color w:val="C45911" w:themeColor="accent2" w:themeShade="BF"/>
                <w:sz w:val="20"/>
                <w:szCs w:val="20"/>
              </w:rPr>
            </w:pPr>
          </w:p>
          <w:p w:rsidR="003C48C6" w:rsidRPr="00290FF3" w:rsidRDefault="003C48C6" w:rsidP="008B5227">
            <w:pPr>
              <w:pStyle w:val="PargrafodaLista"/>
              <w:numPr>
                <w:ilvl w:val="0"/>
                <w:numId w:val="17"/>
              </w:numPr>
              <w:spacing w:after="0" w:line="240" w:lineRule="auto"/>
              <w:rPr>
                <w:rFonts w:asciiTheme="minorHAnsi" w:hAnsiTheme="minorHAnsi"/>
                <w:b/>
                <w:color w:val="C45911" w:themeColor="accent2" w:themeShade="BF"/>
                <w:sz w:val="20"/>
                <w:szCs w:val="20"/>
              </w:rPr>
            </w:pPr>
            <w:r w:rsidRPr="00290FF3">
              <w:rPr>
                <w:rFonts w:asciiTheme="minorHAnsi" w:hAnsiTheme="minorHAnsi"/>
                <w:b/>
                <w:color w:val="C45911" w:themeColor="accent2" w:themeShade="BF"/>
                <w:sz w:val="20"/>
                <w:szCs w:val="20"/>
              </w:rPr>
              <w:t>Fator relativo ao tipo de culturas - C</w:t>
            </w:r>
          </w:p>
          <w:p w:rsidR="000C1B95" w:rsidRPr="00290FF3" w:rsidRDefault="003C48C6" w:rsidP="008B5227">
            <w:pPr>
              <w:pStyle w:val="PargrafodaLista"/>
              <w:numPr>
                <w:ilvl w:val="0"/>
                <w:numId w:val="17"/>
              </w:numPr>
              <w:spacing w:after="0" w:line="240" w:lineRule="auto"/>
              <w:rPr>
                <w:rFonts w:asciiTheme="minorHAnsi" w:hAnsiTheme="minorHAnsi"/>
                <w:b/>
                <w:color w:val="C45911" w:themeColor="accent2" w:themeShade="BF"/>
                <w:sz w:val="20"/>
                <w:szCs w:val="20"/>
              </w:rPr>
            </w:pPr>
            <w:r w:rsidRPr="00290FF3">
              <w:rPr>
                <w:rFonts w:asciiTheme="minorHAnsi" w:hAnsiTheme="minorHAnsi"/>
                <w:b/>
                <w:color w:val="C45911" w:themeColor="accent2" w:themeShade="BF"/>
                <w:sz w:val="20"/>
                <w:szCs w:val="20"/>
              </w:rPr>
              <w:t>Fator antrópico - P</w:t>
            </w:r>
          </w:p>
          <w:p w:rsidR="003C48C6" w:rsidRDefault="003C48C6" w:rsidP="003C48C6">
            <w:pPr>
              <w:spacing w:after="0" w:line="240" w:lineRule="auto"/>
              <w:rPr>
                <w:rFonts w:asciiTheme="minorHAnsi" w:hAnsiTheme="minorHAnsi"/>
                <w:color w:val="C45911" w:themeColor="accent2" w:themeShade="BF"/>
                <w:sz w:val="20"/>
                <w:szCs w:val="20"/>
              </w:rPr>
            </w:pPr>
          </w:p>
          <w:p w:rsidR="003C48C6" w:rsidRPr="003C48C6" w:rsidRDefault="003C48C6" w:rsidP="003C48C6">
            <w:pPr>
              <w:spacing w:after="0" w:line="240" w:lineRule="auto"/>
              <w:rPr>
                <w:rFonts w:asciiTheme="minorHAnsi" w:hAnsiTheme="minorHAnsi"/>
                <w:color w:val="C45911" w:themeColor="accent2" w:themeShade="BF"/>
                <w:sz w:val="20"/>
                <w:szCs w:val="20"/>
              </w:rPr>
            </w:pPr>
            <w:r w:rsidRPr="003C48C6">
              <w:rPr>
                <w:rFonts w:asciiTheme="minorHAnsi" w:hAnsiTheme="minorHAnsi"/>
                <w:color w:val="C45911" w:themeColor="accent2" w:themeShade="BF"/>
                <w:sz w:val="20"/>
                <w:szCs w:val="20"/>
              </w:rPr>
              <w:t>Enquanto que os fatores R, K e LS são facilmente obtidos partindo dos dados e da informação disponível para todo o território, os fatores C e P são mutáveis no espaço e no tempo, o que dificulta a determinação dos seus valores, sobretudo em territórios com grande heterogeneidade de culturas e de densidade demográfica.</w:t>
            </w:r>
          </w:p>
          <w:p w:rsidR="000C1B95" w:rsidRDefault="003C48C6" w:rsidP="003C48C6">
            <w:pPr>
              <w:spacing w:after="0" w:line="240" w:lineRule="auto"/>
              <w:rPr>
                <w:rFonts w:asciiTheme="minorHAnsi" w:hAnsiTheme="minorHAnsi"/>
                <w:color w:val="C45911" w:themeColor="accent2" w:themeShade="BF"/>
                <w:sz w:val="20"/>
                <w:szCs w:val="20"/>
              </w:rPr>
            </w:pPr>
            <w:r w:rsidRPr="003C48C6">
              <w:rPr>
                <w:rFonts w:asciiTheme="minorHAnsi" w:hAnsiTheme="minorHAnsi"/>
                <w:color w:val="C45911" w:themeColor="accent2" w:themeShade="BF"/>
                <w:sz w:val="20"/>
                <w:szCs w:val="20"/>
              </w:rPr>
              <w:t>Para obviar essa heterogeneidade, pode considerar-se na aplicação da EUPS um valor constante para o território municipal que melhor traduza os fatores C e P, de forma a não alterar o resultado final determinado pelas restantes variáveis, conforme resulta da Recomendação Técnica – Limiares a considerar na delimitação das “Áreas de elevado risco de erosão hídrica do solo”, da ex-Comissão Nacional da REN (atual Comissão Nacional do Território) de junho de 2015.</w:t>
            </w:r>
          </w:p>
          <w:p w:rsidR="003C48C6" w:rsidRDefault="003C48C6" w:rsidP="0087611E">
            <w:pPr>
              <w:spacing w:after="0" w:line="240" w:lineRule="auto"/>
              <w:rPr>
                <w:rFonts w:asciiTheme="minorHAnsi" w:hAnsiTheme="minorHAnsi"/>
                <w:color w:val="C45911" w:themeColor="accent2" w:themeShade="BF"/>
                <w:sz w:val="20"/>
                <w:szCs w:val="20"/>
              </w:rPr>
            </w:pPr>
          </w:p>
          <w:p w:rsidR="00533677" w:rsidRPr="00533677" w:rsidRDefault="00533677" w:rsidP="00533677">
            <w:pPr>
              <w:spacing w:after="0" w:line="240" w:lineRule="auto"/>
              <w:rPr>
                <w:rFonts w:asciiTheme="minorHAnsi" w:hAnsiTheme="minorHAnsi"/>
                <w:color w:val="C45911" w:themeColor="accent2" w:themeShade="BF"/>
                <w:sz w:val="20"/>
                <w:szCs w:val="20"/>
              </w:rPr>
            </w:pPr>
            <w:r w:rsidRPr="00533677">
              <w:rPr>
                <w:rFonts w:asciiTheme="minorHAnsi" w:hAnsiTheme="minorHAnsi"/>
                <w:color w:val="C45911" w:themeColor="accent2" w:themeShade="BF"/>
                <w:sz w:val="20"/>
                <w:szCs w:val="20"/>
              </w:rPr>
              <w:t xml:space="preserve">Critério complementar de apoio à generalização e agregação de manchas (a que </w:t>
            </w:r>
            <w:r w:rsidRPr="00533677">
              <w:rPr>
                <w:rFonts w:asciiTheme="minorHAnsi" w:hAnsiTheme="minorHAnsi"/>
                <w:color w:val="C45911" w:themeColor="accent2" w:themeShade="BF"/>
                <w:sz w:val="20"/>
                <w:szCs w:val="20"/>
              </w:rPr>
              <w:lastRenderedPageBreak/>
              <w:t>se reporta a diretriz nº16 da OE) na aplicação da EUPS: utilização do declive igual ou superior a 16% em grés, margas, xistos e grauvaques e 25% nas restantes formações geológicas, incluindo calcários e sienitos.</w:t>
            </w:r>
          </w:p>
          <w:p w:rsidR="008277A3" w:rsidRDefault="00533677" w:rsidP="00533677">
            <w:pPr>
              <w:spacing w:after="0" w:line="240" w:lineRule="auto"/>
              <w:rPr>
                <w:rFonts w:asciiTheme="minorHAnsi" w:hAnsiTheme="minorHAnsi"/>
                <w:color w:val="C45911" w:themeColor="accent2" w:themeShade="BF"/>
                <w:sz w:val="20"/>
                <w:szCs w:val="20"/>
              </w:rPr>
            </w:pPr>
            <w:r w:rsidRPr="00533677">
              <w:rPr>
                <w:rFonts w:asciiTheme="minorHAnsi" w:hAnsiTheme="minorHAnsi"/>
                <w:color w:val="C45911" w:themeColor="accent2" w:themeShade="BF"/>
                <w:sz w:val="20"/>
                <w:szCs w:val="20"/>
              </w:rPr>
              <w:t xml:space="preserve">As áreas de risco assumem particular vulnerabilidade em situações de conjugação de declives acentuados com solos </w:t>
            </w:r>
            <w:proofErr w:type="spellStart"/>
            <w:r w:rsidRPr="00533677">
              <w:rPr>
                <w:rFonts w:asciiTheme="minorHAnsi" w:hAnsiTheme="minorHAnsi"/>
                <w:color w:val="C45911" w:themeColor="accent2" w:themeShade="BF"/>
                <w:sz w:val="20"/>
                <w:szCs w:val="20"/>
              </w:rPr>
              <w:t>litólicos</w:t>
            </w:r>
            <w:proofErr w:type="spellEnd"/>
            <w:r w:rsidRPr="00533677">
              <w:rPr>
                <w:rFonts w:asciiTheme="minorHAnsi" w:hAnsiTheme="minorHAnsi"/>
                <w:color w:val="C45911" w:themeColor="accent2" w:themeShade="BF"/>
                <w:sz w:val="20"/>
                <w:szCs w:val="20"/>
              </w:rPr>
              <w:t xml:space="preserve"> de xisto, em áreas de elevada susceptibilidade à desertificação, sendo as áreas serranas do Algarve os setores mais afetados.</w:t>
            </w:r>
          </w:p>
          <w:p w:rsidR="008277A3" w:rsidRDefault="008277A3" w:rsidP="0087611E">
            <w:pPr>
              <w:spacing w:after="0" w:line="240" w:lineRule="auto"/>
              <w:rPr>
                <w:rFonts w:asciiTheme="minorHAnsi" w:hAnsiTheme="minorHAnsi"/>
                <w:color w:val="C45911" w:themeColor="accent2" w:themeShade="BF"/>
                <w:sz w:val="20"/>
                <w:szCs w:val="20"/>
              </w:rPr>
            </w:pPr>
          </w:p>
          <w:p w:rsidR="008277A3" w:rsidRDefault="008277A3" w:rsidP="0087611E">
            <w:pPr>
              <w:spacing w:after="0" w:line="240" w:lineRule="auto"/>
              <w:rPr>
                <w:rFonts w:asciiTheme="minorHAnsi" w:hAnsiTheme="minorHAnsi"/>
                <w:color w:val="C45911" w:themeColor="accent2" w:themeShade="BF"/>
                <w:sz w:val="20"/>
                <w:szCs w:val="20"/>
              </w:rPr>
            </w:pPr>
          </w:p>
          <w:p w:rsidR="003C48C6" w:rsidRDefault="008277A3" w:rsidP="0087611E">
            <w:pPr>
              <w:spacing w:after="0" w:line="240" w:lineRule="auto"/>
              <w:rPr>
                <w:rFonts w:asciiTheme="minorHAnsi" w:hAnsiTheme="minorHAnsi"/>
                <w:b/>
                <w:color w:val="C45911" w:themeColor="accent2" w:themeShade="BF"/>
                <w:sz w:val="20"/>
                <w:szCs w:val="20"/>
              </w:rPr>
            </w:pPr>
            <w:r w:rsidRPr="008277A3">
              <w:rPr>
                <w:rFonts w:asciiTheme="minorHAnsi" w:hAnsiTheme="minorHAnsi"/>
                <w:b/>
                <w:color w:val="C45911" w:themeColor="accent2" w:themeShade="BF"/>
                <w:sz w:val="20"/>
                <w:szCs w:val="20"/>
              </w:rPr>
              <w:t>Perda de Solo Especifico (</w:t>
            </w:r>
            <w:proofErr w:type="spellStart"/>
            <w:r w:rsidRPr="008277A3">
              <w:rPr>
                <w:rFonts w:asciiTheme="minorHAnsi" w:hAnsiTheme="minorHAnsi"/>
                <w:b/>
                <w:color w:val="C45911" w:themeColor="accent2" w:themeShade="BF"/>
                <w:sz w:val="20"/>
                <w:szCs w:val="20"/>
              </w:rPr>
              <w:t>Pse</w:t>
            </w:r>
            <w:proofErr w:type="spellEnd"/>
            <w:r w:rsidRPr="008277A3">
              <w:rPr>
                <w:rFonts w:asciiTheme="minorHAnsi" w:hAnsiTheme="minorHAnsi"/>
                <w:b/>
                <w:color w:val="C45911" w:themeColor="accent2" w:themeShade="BF"/>
                <w:sz w:val="20"/>
                <w:szCs w:val="20"/>
              </w:rPr>
              <w:t>)</w:t>
            </w:r>
          </w:p>
          <w:p w:rsidR="008277A3" w:rsidRPr="00290FF3" w:rsidRDefault="008277A3" w:rsidP="008277A3">
            <w:pPr>
              <w:spacing w:after="0" w:line="240" w:lineRule="auto"/>
              <w:rPr>
                <w:rFonts w:asciiTheme="minorHAnsi" w:hAnsiTheme="minorHAnsi"/>
                <w:color w:val="C45911" w:themeColor="accent2" w:themeShade="BF"/>
                <w:sz w:val="20"/>
                <w:szCs w:val="20"/>
              </w:rPr>
            </w:pPr>
            <w:r w:rsidRPr="00290FF3">
              <w:rPr>
                <w:rFonts w:asciiTheme="minorHAnsi" w:hAnsiTheme="minorHAnsi"/>
                <w:color w:val="C45911" w:themeColor="accent2" w:themeShade="BF"/>
                <w:sz w:val="20"/>
                <w:szCs w:val="20"/>
              </w:rPr>
              <w:t>Em termos de classificação qualitativa da perda de solo associada ao risco de erosão hídrica, aplicam-se os valores do quadro previsto na OENR.</w:t>
            </w:r>
          </w:p>
          <w:p w:rsidR="008277A3" w:rsidRDefault="008277A3" w:rsidP="008277A3">
            <w:pPr>
              <w:spacing w:after="0" w:line="240" w:lineRule="auto"/>
              <w:rPr>
                <w:rFonts w:asciiTheme="minorHAnsi" w:hAnsiTheme="minorHAnsi"/>
                <w:color w:val="C45911" w:themeColor="accent2" w:themeShade="BF"/>
                <w:sz w:val="20"/>
                <w:szCs w:val="20"/>
              </w:rPr>
            </w:pPr>
            <w:r w:rsidRPr="00290FF3">
              <w:rPr>
                <w:rFonts w:asciiTheme="minorHAnsi" w:hAnsiTheme="minorHAnsi"/>
                <w:color w:val="C45911" w:themeColor="accent2" w:themeShade="BF"/>
                <w:sz w:val="20"/>
                <w:szCs w:val="20"/>
              </w:rPr>
              <w:t>Os resultados com risco elevado, ou seja, maior ou igual a 55 são aqueles que irão integrar a REN como áreas de elevado risco de erosão hídrica.</w:t>
            </w:r>
          </w:p>
          <w:p w:rsidR="008277A3" w:rsidRDefault="008277A3" w:rsidP="008277A3">
            <w:pPr>
              <w:spacing w:after="0" w:line="240" w:lineRule="auto"/>
              <w:rPr>
                <w:rFonts w:asciiTheme="minorHAnsi" w:hAnsiTheme="minorHAnsi"/>
                <w:color w:val="C45911" w:themeColor="accent2" w:themeShade="BF"/>
                <w:sz w:val="20"/>
                <w:szCs w:val="20"/>
              </w:rPr>
            </w:pPr>
          </w:p>
          <w:p w:rsidR="008277A3" w:rsidRPr="008277A3" w:rsidRDefault="008277A3" w:rsidP="008277A3">
            <w:pPr>
              <w:spacing w:after="0" w:line="240" w:lineRule="auto"/>
              <w:rPr>
                <w:rFonts w:asciiTheme="minorHAnsi" w:hAnsiTheme="minorHAnsi"/>
                <w:color w:val="C45911" w:themeColor="accent2" w:themeShade="BF"/>
                <w:sz w:val="20"/>
                <w:szCs w:val="20"/>
              </w:rPr>
            </w:pPr>
            <w:r w:rsidRPr="008277A3">
              <w:rPr>
                <w:rFonts w:asciiTheme="minorHAnsi" w:hAnsiTheme="minorHAnsi"/>
                <w:color w:val="C45911" w:themeColor="accent2" w:themeShade="BF"/>
                <w:sz w:val="20"/>
                <w:szCs w:val="20"/>
              </w:rPr>
              <w:t>Quando o resultado cartográfico da aplicação da EUPS se revelar fragmentado ou sem o nível de agregação desejável, poderão colocar-se dificuldades na gestão territorial, por existência de múltiplas situações de fronteira entre as áreas sujeitas e não sujeitas à REN.</w:t>
            </w:r>
          </w:p>
          <w:p w:rsidR="008277A3" w:rsidRDefault="008277A3" w:rsidP="008277A3">
            <w:pPr>
              <w:spacing w:after="0" w:line="240" w:lineRule="auto"/>
              <w:rPr>
                <w:rFonts w:asciiTheme="minorHAnsi" w:hAnsiTheme="minorHAnsi"/>
                <w:color w:val="C45911" w:themeColor="accent2" w:themeShade="BF"/>
                <w:sz w:val="20"/>
                <w:szCs w:val="20"/>
              </w:rPr>
            </w:pPr>
            <w:r w:rsidRPr="008277A3">
              <w:rPr>
                <w:rFonts w:asciiTheme="minorHAnsi" w:hAnsiTheme="minorHAnsi"/>
                <w:color w:val="C45911" w:themeColor="accent2" w:themeShade="BF"/>
                <w:sz w:val="20"/>
                <w:szCs w:val="20"/>
              </w:rPr>
              <w:t>Nessas situações recomenda-se que a generalização e agregação das manchas resultantes da aplicação da metodologia, com vista à sistematização do</w:t>
            </w:r>
            <w:r>
              <w:rPr>
                <w:rFonts w:asciiTheme="minorHAnsi" w:hAnsiTheme="minorHAnsi"/>
                <w:color w:val="C45911" w:themeColor="accent2" w:themeShade="BF"/>
                <w:sz w:val="20"/>
                <w:szCs w:val="20"/>
              </w:rPr>
              <w:t>s</w:t>
            </w:r>
            <w:r w:rsidRPr="008277A3">
              <w:rPr>
                <w:rFonts w:asciiTheme="minorHAnsi" w:hAnsiTheme="minorHAnsi"/>
                <w:color w:val="C45911" w:themeColor="accent2" w:themeShade="BF"/>
                <w:sz w:val="20"/>
                <w:szCs w:val="20"/>
              </w:rPr>
              <w:t xml:space="preserve"> resultados obtidos – a que se refere a diretriz 16 das OE – sejam feitas com recurso à integração de áreas com </w:t>
            </w:r>
            <w:proofErr w:type="spellStart"/>
            <w:r w:rsidRPr="008277A3">
              <w:rPr>
                <w:rFonts w:asciiTheme="minorHAnsi" w:hAnsiTheme="minorHAnsi"/>
                <w:color w:val="C45911" w:themeColor="accent2" w:themeShade="BF"/>
                <w:sz w:val="20"/>
                <w:szCs w:val="20"/>
              </w:rPr>
              <w:t>Pse</w:t>
            </w:r>
            <w:proofErr w:type="spellEnd"/>
            <w:r w:rsidRPr="008277A3">
              <w:rPr>
                <w:rFonts w:asciiTheme="minorHAnsi" w:hAnsiTheme="minorHAnsi"/>
                <w:color w:val="C45911" w:themeColor="accent2" w:themeShade="BF"/>
                <w:sz w:val="20"/>
                <w:szCs w:val="20"/>
              </w:rPr>
              <w:t xml:space="preserve"> inferior a 55 </w:t>
            </w:r>
            <w:proofErr w:type="spellStart"/>
            <w:r w:rsidRPr="008277A3">
              <w:rPr>
                <w:rFonts w:asciiTheme="minorHAnsi" w:hAnsiTheme="minorHAnsi"/>
                <w:color w:val="C45911" w:themeColor="accent2" w:themeShade="BF"/>
                <w:sz w:val="20"/>
                <w:szCs w:val="20"/>
              </w:rPr>
              <w:t>ton</w:t>
            </w:r>
            <w:proofErr w:type="spellEnd"/>
            <w:r w:rsidRPr="008277A3">
              <w:rPr>
                <w:rFonts w:asciiTheme="minorHAnsi" w:hAnsiTheme="minorHAnsi"/>
                <w:color w:val="C45911" w:themeColor="accent2" w:themeShade="BF"/>
                <w:sz w:val="20"/>
                <w:szCs w:val="20"/>
              </w:rPr>
              <w:t>/</w:t>
            </w:r>
            <w:proofErr w:type="spellStart"/>
            <w:r w:rsidRPr="008277A3">
              <w:rPr>
                <w:rFonts w:asciiTheme="minorHAnsi" w:hAnsiTheme="minorHAnsi"/>
                <w:color w:val="C45911" w:themeColor="accent2" w:themeShade="BF"/>
                <w:sz w:val="20"/>
                <w:szCs w:val="20"/>
              </w:rPr>
              <w:t>ha.ano</w:t>
            </w:r>
            <w:proofErr w:type="spellEnd"/>
            <w:r w:rsidRPr="008277A3">
              <w:rPr>
                <w:rFonts w:asciiTheme="minorHAnsi" w:hAnsiTheme="minorHAnsi"/>
                <w:color w:val="C45911" w:themeColor="accent2" w:themeShade="BF"/>
                <w:sz w:val="20"/>
                <w:szCs w:val="20"/>
              </w:rPr>
              <w:t>, conforme também resulta de recomendação técnica da C</w:t>
            </w:r>
            <w:r>
              <w:rPr>
                <w:rFonts w:asciiTheme="minorHAnsi" w:hAnsiTheme="minorHAnsi"/>
                <w:color w:val="C45911" w:themeColor="accent2" w:themeShade="BF"/>
                <w:sz w:val="20"/>
                <w:szCs w:val="20"/>
              </w:rPr>
              <w:t>omissão Nacional da REN</w:t>
            </w:r>
          </w:p>
          <w:p w:rsidR="008277A3" w:rsidRDefault="008277A3" w:rsidP="008277A3">
            <w:pPr>
              <w:spacing w:after="0" w:line="240" w:lineRule="auto"/>
              <w:rPr>
                <w:rFonts w:asciiTheme="minorHAnsi" w:hAnsiTheme="minorHAnsi"/>
                <w:color w:val="C45911" w:themeColor="accent2" w:themeShade="BF"/>
                <w:sz w:val="20"/>
                <w:szCs w:val="20"/>
              </w:rPr>
            </w:pPr>
          </w:p>
          <w:p w:rsidR="008277A3" w:rsidRDefault="008277A3" w:rsidP="008277A3">
            <w:pPr>
              <w:spacing w:after="0" w:line="240" w:lineRule="auto"/>
              <w:rPr>
                <w:rFonts w:asciiTheme="minorHAnsi" w:hAnsiTheme="minorHAnsi"/>
                <w:color w:val="C45911" w:themeColor="accent2" w:themeShade="BF"/>
                <w:sz w:val="20"/>
                <w:szCs w:val="20"/>
              </w:rPr>
            </w:pPr>
          </w:p>
          <w:p w:rsidR="00903638" w:rsidRPr="00903638" w:rsidRDefault="00903638" w:rsidP="00903638">
            <w:pPr>
              <w:spacing w:after="0" w:line="240" w:lineRule="auto"/>
              <w:rPr>
                <w:rFonts w:asciiTheme="minorHAnsi" w:hAnsiTheme="minorHAnsi"/>
                <w:color w:val="C45911" w:themeColor="accent2" w:themeShade="BF"/>
                <w:sz w:val="20"/>
                <w:szCs w:val="20"/>
              </w:rPr>
            </w:pPr>
          </w:p>
        </w:tc>
      </w:tr>
      <w:tr w:rsidR="00422172" w:rsidRPr="00C138AF" w:rsidTr="007806B0">
        <w:tc>
          <w:tcPr>
            <w:tcW w:w="2007" w:type="dxa"/>
            <w:vAlign w:val="center"/>
          </w:tcPr>
          <w:p w:rsidR="00422172" w:rsidRPr="00C138AF" w:rsidRDefault="00422172" w:rsidP="00422172">
            <w:pPr>
              <w:pStyle w:val="PargrafodaLista"/>
              <w:numPr>
                <w:ilvl w:val="0"/>
                <w:numId w:val="14"/>
              </w:numPr>
              <w:spacing w:after="0" w:line="240" w:lineRule="auto"/>
              <w:ind w:left="313"/>
              <w:rPr>
                <w:rFonts w:asciiTheme="minorHAnsi" w:hAnsiTheme="minorHAnsi"/>
                <w:sz w:val="20"/>
                <w:szCs w:val="20"/>
              </w:rPr>
            </w:pPr>
            <w:r w:rsidRPr="00C138AF">
              <w:rPr>
                <w:rFonts w:asciiTheme="minorHAnsi" w:hAnsiTheme="minorHAnsi"/>
                <w:sz w:val="20"/>
                <w:szCs w:val="20"/>
              </w:rPr>
              <w:lastRenderedPageBreak/>
              <w:t>Áreas de instabilidade de vertentes (AIV)</w:t>
            </w: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C138AF" w:rsidRDefault="00422172" w:rsidP="00422172">
            <w:pPr>
              <w:spacing w:after="0" w:line="240" w:lineRule="auto"/>
              <w:rPr>
                <w:rFonts w:asciiTheme="minorHAnsi" w:hAnsiTheme="minorHAnsi"/>
                <w:sz w:val="20"/>
                <w:szCs w:val="20"/>
              </w:rPr>
            </w:pPr>
          </w:p>
        </w:tc>
        <w:tc>
          <w:tcPr>
            <w:tcW w:w="4110" w:type="dxa"/>
          </w:tcPr>
          <w:p w:rsidR="00422172" w:rsidRPr="008B5227" w:rsidRDefault="00422172" w:rsidP="00F93A13">
            <w:pPr>
              <w:spacing w:after="0" w:line="240" w:lineRule="auto"/>
              <w:rPr>
                <w:rFonts w:asciiTheme="minorHAnsi" w:hAnsiTheme="minorHAnsi"/>
                <w:i/>
                <w:color w:val="833C0B" w:themeColor="accent2" w:themeShade="80"/>
                <w:sz w:val="20"/>
                <w:szCs w:val="20"/>
              </w:rPr>
            </w:pPr>
            <w:r w:rsidRPr="008B5227">
              <w:rPr>
                <w:rFonts w:asciiTheme="minorHAnsi" w:hAnsiTheme="minorHAnsi"/>
                <w:i/>
                <w:color w:val="833C0B" w:themeColor="accent2" w:themeShade="80"/>
                <w:sz w:val="20"/>
                <w:szCs w:val="20"/>
              </w:rPr>
              <w:t>Guia metodológico para delimitação da Reserva Ecológica Nacional em Lisboa e Vale do Tejo – páginas 110 a 114</w:t>
            </w:r>
            <w:r w:rsidR="00F93A13" w:rsidRPr="008B5227">
              <w:rPr>
                <w:rFonts w:asciiTheme="minorHAnsi" w:hAnsiTheme="minorHAnsi"/>
                <w:i/>
                <w:color w:val="833C0B" w:themeColor="accent2" w:themeShade="80"/>
                <w:sz w:val="20"/>
                <w:szCs w:val="20"/>
              </w:rPr>
              <w:t>.</w:t>
            </w:r>
          </w:p>
          <w:p w:rsidR="00571154" w:rsidRPr="008B5227" w:rsidRDefault="00571154" w:rsidP="00F93A13">
            <w:pPr>
              <w:spacing w:after="0" w:line="240" w:lineRule="auto"/>
              <w:rPr>
                <w:rFonts w:asciiTheme="minorHAnsi" w:hAnsiTheme="minorHAnsi"/>
                <w:i/>
                <w:color w:val="833C0B" w:themeColor="accent2" w:themeShade="80"/>
                <w:sz w:val="20"/>
                <w:szCs w:val="20"/>
              </w:rPr>
            </w:pPr>
          </w:p>
          <w:p w:rsidR="00571154" w:rsidRPr="008B5227" w:rsidRDefault="002546FE" w:rsidP="00F93A13">
            <w:pPr>
              <w:spacing w:after="0" w:line="240" w:lineRule="auto"/>
              <w:rPr>
                <w:rFonts w:asciiTheme="minorHAnsi" w:hAnsiTheme="minorHAnsi"/>
                <w:b/>
                <w:color w:val="833C0B" w:themeColor="accent2" w:themeShade="80"/>
                <w:sz w:val="20"/>
                <w:szCs w:val="20"/>
              </w:rPr>
            </w:pPr>
            <w:r w:rsidRPr="008B5227">
              <w:rPr>
                <w:rFonts w:asciiTheme="minorHAnsi" w:hAnsiTheme="minorHAnsi"/>
                <w:color w:val="833C0B" w:themeColor="accent2" w:themeShade="80"/>
                <w:sz w:val="20"/>
                <w:szCs w:val="20"/>
              </w:rPr>
              <w:t xml:space="preserve">Aplica-se </w:t>
            </w:r>
            <w:r w:rsidR="007C3BA2" w:rsidRPr="008B5227">
              <w:rPr>
                <w:rFonts w:asciiTheme="minorHAnsi" w:hAnsiTheme="minorHAnsi"/>
                <w:color w:val="833C0B" w:themeColor="accent2" w:themeShade="80"/>
                <w:sz w:val="20"/>
                <w:szCs w:val="20"/>
              </w:rPr>
              <w:t>a metodologia prevista nas OENR: escarpas naturais +</w:t>
            </w:r>
            <w:r w:rsidRPr="008B5227">
              <w:rPr>
                <w:rFonts w:asciiTheme="minorHAnsi" w:hAnsiTheme="minorHAnsi"/>
                <w:b/>
                <w:color w:val="833C0B" w:themeColor="accent2" w:themeShade="80"/>
                <w:sz w:val="20"/>
                <w:szCs w:val="20"/>
              </w:rPr>
              <w:t xml:space="preserve"> </w:t>
            </w:r>
            <w:r w:rsidR="00571154" w:rsidRPr="008B5227">
              <w:rPr>
                <w:rFonts w:asciiTheme="minorHAnsi" w:hAnsiTheme="minorHAnsi"/>
                <w:b/>
                <w:color w:val="833C0B" w:themeColor="accent2" w:themeShade="80"/>
                <w:sz w:val="20"/>
                <w:szCs w:val="20"/>
              </w:rPr>
              <w:t>Método do Valor Informativo</w:t>
            </w:r>
          </w:p>
          <w:p w:rsidR="00786483" w:rsidRPr="008B5227" w:rsidRDefault="00786483" w:rsidP="00F93A13">
            <w:pPr>
              <w:spacing w:after="0" w:line="240" w:lineRule="auto"/>
              <w:rPr>
                <w:rFonts w:asciiTheme="minorHAnsi" w:hAnsiTheme="minorHAnsi"/>
                <w:color w:val="833C0B" w:themeColor="accent2" w:themeShade="80"/>
                <w:sz w:val="20"/>
                <w:szCs w:val="20"/>
              </w:rPr>
            </w:pPr>
          </w:p>
          <w:p w:rsidR="00571154" w:rsidRPr="008B5227" w:rsidRDefault="002546FE" w:rsidP="00F93A13">
            <w:pPr>
              <w:spacing w:after="0" w:line="240" w:lineRule="auto"/>
              <w:rPr>
                <w:rFonts w:asciiTheme="minorHAnsi" w:hAnsiTheme="minorHAnsi"/>
                <w:b/>
                <w:color w:val="833C0B" w:themeColor="accent2" w:themeShade="80"/>
                <w:sz w:val="20"/>
                <w:szCs w:val="20"/>
              </w:rPr>
            </w:pPr>
            <w:r w:rsidRPr="008B5227">
              <w:rPr>
                <w:rFonts w:asciiTheme="minorHAnsi" w:hAnsiTheme="minorHAnsi"/>
                <w:b/>
                <w:color w:val="833C0B" w:themeColor="accent2" w:themeShade="80"/>
                <w:sz w:val="20"/>
                <w:szCs w:val="20"/>
              </w:rPr>
              <w:t>Na a</w:t>
            </w:r>
            <w:r w:rsidR="00571154" w:rsidRPr="008B5227">
              <w:rPr>
                <w:rFonts w:asciiTheme="minorHAnsi" w:hAnsiTheme="minorHAnsi"/>
                <w:b/>
                <w:color w:val="833C0B" w:themeColor="accent2" w:themeShade="80"/>
                <w:sz w:val="20"/>
                <w:szCs w:val="20"/>
              </w:rPr>
              <w:t>usência de registos</w:t>
            </w:r>
            <w:r w:rsidR="00B90CA0" w:rsidRPr="008B5227">
              <w:rPr>
                <w:rFonts w:asciiTheme="minorHAnsi" w:hAnsiTheme="minorHAnsi"/>
                <w:b/>
                <w:color w:val="833C0B" w:themeColor="accent2" w:themeShade="80"/>
                <w:sz w:val="20"/>
                <w:szCs w:val="20"/>
              </w:rPr>
              <w:t>:</w:t>
            </w:r>
          </w:p>
          <w:p w:rsidR="00FE4AE8" w:rsidRPr="008B5227" w:rsidRDefault="00571154" w:rsidP="00FE4AE8">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Quando não exista registo de ocorrências e, da inventariação efetuada inicialmente se conclua pela inexistência de movimentos de vertente no território concelhio, aplica-se a</w:t>
            </w:r>
            <w:r w:rsidR="00FE4AE8" w:rsidRPr="008B5227">
              <w:rPr>
                <w:rFonts w:asciiTheme="minorHAnsi" w:hAnsiTheme="minorHAnsi"/>
                <w:color w:val="833C0B" w:themeColor="accent2" w:themeShade="80"/>
                <w:sz w:val="20"/>
                <w:szCs w:val="20"/>
              </w:rPr>
              <w:t xml:space="preserve"> metodologia que consta do PROT OVT. Com esta metodologia identificam-se as áreas com suscetibilidade geológica nas quais, até à data, não existiram ocorrências.</w:t>
            </w:r>
          </w:p>
          <w:p w:rsidR="00FE4AE8" w:rsidRPr="008B5227" w:rsidRDefault="00FE4AE8" w:rsidP="00FE4AE8">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Assim, as áreas de instabilidade de vertentes são inventariadas através da avaliação conjunta de dois fatores condicionantes:</w:t>
            </w:r>
          </w:p>
          <w:p w:rsidR="00FE4AE8" w:rsidRPr="008B5227" w:rsidRDefault="00FE4AE8" w:rsidP="00FE4AE8">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Litologia, que reflete as propriedades de resistência mecânica dos terrenos, nomeadamente os seus parâmetros de coesão e ângulo de atrito interno.</w:t>
            </w:r>
          </w:p>
          <w:p w:rsidR="00FE4AE8" w:rsidRPr="008B5227" w:rsidRDefault="00FE4AE8" w:rsidP="00FE4AE8">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Declive, que controla diretamente as tensões tangenciais que se verificam nas vertentes.</w:t>
            </w:r>
          </w:p>
          <w:p w:rsidR="00571154" w:rsidRPr="008B5227" w:rsidRDefault="00571154" w:rsidP="00786483">
            <w:pPr>
              <w:spacing w:after="0" w:line="240" w:lineRule="auto"/>
              <w:rPr>
                <w:rFonts w:asciiTheme="minorHAnsi" w:hAnsiTheme="minorHAnsi"/>
                <w:color w:val="833C0B" w:themeColor="accent2" w:themeShade="80"/>
                <w:sz w:val="20"/>
                <w:szCs w:val="20"/>
              </w:rPr>
            </w:pPr>
          </w:p>
          <w:p w:rsidR="00786483" w:rsidRPr="008B5227" w:rsidRDefault="00786483" w:rsidP="00786483">
            <w:pPr>
              <w:spacing w:after="0" w:line="240" w:lineRule="auto"/>
              <w:rPr>
                <w:rFonts w:asciiTheme="minorHAnsi" w:hAnsiTheme="minorHAnsi"/>
                <w:color w:val="833C0B" w:themeColor="accent2" w:themeShade="80"/>
                <w:sz w:val="20"/>
                <w:szCs w:val="20"/>
              </w:rPr>
            </w:pPr>
          </w:p>
          <w:p w:rsidR="00786483" w:rsidRPr="008B5227" w:rsidRDefault="00786483" w:rsidP="00786483">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São integradas na REN as áreas correspondentes às unidades litológicas que apresentem valor de declive igual ou superior ao definido.</w:t>
            </w:r>
          </w:p>
          <w:p w:rsidR="00786483" w:rsidRPr="008B5227" w:rsidRDefault="00786483" w:rsidP="00786483">
            <w:pPr>
              <w:spacing w:after="0" w:line="240" w:lineRule="auto"/>
              <w:rPr>
                <w:rFonts w:asciiTheme="minorHAnsi" w:hAnsiTheme="minorHAnsi"/>
                <w:color w:val="833C0B" w:themeColor="accent2" w:themeShade="80"/>
                <w:sz w:val="20"/>
                <w:szCs w:val="20"/>
              </w:rPr>
            </w:pPr>
          </w:p>
          <w:p w:rsidR="00786483" w:rsidRPr="008B5227" w:rsidRDefault="00786483" w:rsidP="00786483">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 continuidade das áreas REN é fundamental à garantia do carácter sistémico desta estrutura biofísica, bem como à prossecução do objetivo de salvaguarda dos riscos de movimento de massas em vertentes.</w:t>
            </w:r>
          </w:p>
          <w:p w:rsidR="00786483" w:rsidRPr="008B5227" w:rsidRDefault="00786483" w:rsidP="00786483">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As áreas obtidas são posteriormente ajustadas à topografia do terreno e o resultado sujeito a processos de generalização.</w:t>
            </w:r>
          </w:p>
          <w:p w:rsidR="00786483" w:rsidRPr="008B5227" w:rsidRDefault="00786483" w:rsidP="00786483">
            <w:pPr>
              <w:spacing w:after="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Assim, os vazios no interior de encostas/vertentes instáveis são incluídos na REN. Na mesma ordem de ideias, deve ser ponderada a não integração de áreas instáveis isoladas que tenham dimensão inferior a 0,5 </w:t>
            </w:r>
            <w:proofErr w:type="spellStart"/>
            <w:r w:rsidRPr="008B5227">
              <w:rPr>
                <w:rFonts w:asciiTheme="minorHAnsi" w:hAnsiTheme="minorHAnsi"/>
                <w:color w:val="833C0B" w:themeColor="accent2" w:themeShade="80"/>
                <w:sz w:val="20"/>
                <w:szCs w:val="20"/>
              </w:rPr>
              <w:t>ha</w:t>
            </w:r>
            <w:proofErr w:type="spellEnd"/>
            <w:r w:rsidRPr="008B5227">
              <w:rPr>
                <w:rFonts w:asciiTheme="minorHAnsi" w:hAnsiTheme="minorHAnsi"/>
                <w:color w:val="833C0B" w:themeColor="accent2" w:themeShade="80"/>
                <w:sz w:val="20"/>
                <w:szCs w:val="20"/>
              </w:rPr>
              <w:t>, com exceção de áreas que, em resultado da sua proximidade, tenham em conjunto uma dimensão superior. Esta avaliação casuística assume especial relevância em territórios ocupados. Não são integradas as áreas associadas a taludes de vias e a arribas.</w:t>
            </w:r>
          </w:p>
        </w:tc>
        <w:tc>
          <w:tcPr>
            <w:tcW w:w="4110" w:type="dxa"/>
          </w:tcPr>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No Alentejo, as áreas com instabilidade de vertentes correspondem essencialmente a episódios isolados, associados a ocorrências geológicas em situação de relevo acidentado, como escarpas de falha e zonas de montanha.</w:t>
            </w:r>
          </w:p>
          <w:p w:rsidR="008277A3" w:rsidRDefault="008277A3" w:rsidP="00422172">
            <w:pPr>
              <w:spacing w:after="0" w:line="240" w:lineRule="auto"/>
              <w:rPr>
                <w:rFonts w:asciiTheme="minorHAnsi" w:hAnsiTheme="minorHAnsi"/>
                <w:color w:val="BF8F00" w:themeColor="accent4" w:themeShade="BF"/>
                <w:sz w:val="20"/>
                <w:szCs w:val="20"/>
              </w:rPr>
            </w:pPr>
          </w:p>
          <w:p w:rsidR="00422172" w:rsidRPr="00C138AF" w:rsidRDefault="00422172" w:rsidP="00422172">
            <w:pPr>
              <w:spacing w:after="0" w:line="240" w:lineRule="auto"/>
              <w:rPr>
                <w:rFonts w:asciiTheme="minorHAnsi" w:hAnsiTheme="minorHAnsi"/>
                <w:color w:val="BF8F00" w:themeColor="accent4" w:themeShade="BF"/>
                <w:sz w:val="20"/>
                <w:szCs w:val="20"/>
              </w:rPr>
            </w:pPr>
            <w:r w:rsidRPr="00C138AF">
              <w:rPr>
                <w:rFonts w:asciiTheme="minorHAnsi" w:hAnsiTheme="minorHAnsi"/>
                <w:color w:val="BF8F00" w:themeColor="accent4" w:themeShade="BF"/>
                <w:sz w:val="20"/>
                <w:szCs w:val="20"/>
              </w:rPr>
              <w:t xml:space="preserve">Para as delimitações optou-se, em geral, por seguir a metodologia utilizada no Plano Regional de Ordenamento do Território do Oeste e Vale do Tejo – PROTOVT (CCDRLVT, 2008). A metodologia utilizada neste estudo teve por base a aplicação de um modelo heurístico para a delimitação das áreas de maior Suscetibilidade aos Movimentos de Vertente (SMV) já que </w:t>
            </w:r>
            <w:r w:rsidRPr="00290FF3">
              <w:rPr>
                <w:rFonts w:asciiTheme="minorHAnsi" w:hAnsiTheme="minorHAnsi"/>
                <w:b/>
                <w:color w:val="BF8F00" w:themeColor="accent4" w:themeShade="BF"/>
                <w:sz w:val="20"/>
                <w:szCs w:val="20"/>
              </w:rPr>
              <w:t>não existiam inventários de ocorrência de movimentos de massa para a região</w:t>
            </w:r>
            <w:r w:rsidRPr="00C138AF">
              <w:rPr>
                <w:rFonts w:asciiTheme="minorHAnsi" w:hAnsiTheme="minorHAnsi"/>
                <w:color w:val="BF8F00" w:themeColor="accent4" w:themeShade="BF"/>
                <w:sz w:val="20"/>
                <w:szCs w:val="20"/>
              </w:rPr>
              <w:t>. Este modelo sugere o cruzamento dos fatores considerados como sendo os principais condicionantes da instabilidade de movimento de vertentes, nomeadamente a litologia e o declive.</w:t>
            </w:r>
          </w:p>
        </w:tc>
        <w:tc>
          <w:tcPr>
            <w:tcW w:w="4110" w:type="dxa"/>
          </w:tcPr>
          <w:p w:rsidR="00D1289C" w:rsidRDefault="00D1289C" w:rsidP="00422172">
            <w:pPr>
              <w:spacing w:after="0" w:line="240" w:lineRule="auto"/>
              <w:rPr>
                <w:rFonts w:asciiTheme="minorHAnsi" w:hAnsiTheme="minorHAnsi"/>
                <w:i/>
                <w:color w:val="C45911" w:themeColor="accent2" w:themeShade="BF"/>
                <w:sz w:val="20"/>
                <w:szCs w:val="20"/>
              </w:rPr>
            </w:pPr>
            <w:r w:rsidRPr="0053774B">
              <w:rPr>
                <w:rFonts w:asciiTheme="minorHAnsi" w:hAnsiTheme="minorHAnsi"/>
                <w:i/>
                <w:color w:val="C45911" w:themeColor="accent2" w:themeShade="BF"/>
                <w:sz w:val="20"/>
                <w:szCs w:val="20"/>
              </w:rPr>
              <w:t>Guia Metodológico de Delimitação/Alteração da Delimitação da REN, da CCDR Algarve – p</w:t>
            </w:r>
            <w:r>
              <w:rPr>
                <w:rFonts w:asciiTheme="minorHAnsi" w:hAnsiTheme="minorHAnsi"/>
                <w:i/>
                <w:color w:val="C45911" w:themeColor="accent2" w:themeShade="BF"/>
                <w:sz w:val="20"/>
                <w:szCs w:val="20"/>
              </w:rPr>
              <w:t>áginas 85 a 88.</w:t>
            </w:r>
          </w:p>
          <w:p w:rsidR="0094418A" w:rsidRDefault="0094418A" w:rsidP="0094418A">
            <w:pPr>
              <w:spacing w:after="0" w:line="240" w:lineRule="auto"/>
              <w:rPr>
                <w:rFonts w:asciiTheme="minorHAnsi" w:hAnsiTheme="minorHAnsi"/>
                <w:color w:val="000000" w:themeColor="text1"/>
                <w:sz w:val="20"/>
                <w:szCs w:val="20"/>
              </w:rPr>
            </w:pPr>
          </w:p>
          <w:p w:rsidR="0094418A" w:rsidRPr="00290FF3" w:rsidRDefault="0094418A" w:rsidP="0094418A">
            <w:pPr>
              <w:spacing w:after="0" w:line="240" w:lineRule="auto"/>
              <w:rPr>
                <w:rFonts w:asciiTheme="minorHAnsi" w:hAnsiTheme="minorHAnsi"/>
                <w:color w:val="C45911" w:themeColor="accent2" w:themeShade="BF"/>
                <w:sz w:val="20"/>
                <w:szCs w:val="20"/>
              </w:rPr>
            </w:pPr>
            <w:r w:rsidRPr="00290FF3">
              <w:rPr>
                <w:rFonts w:asciiTheme="minorHAnsi" w:hAnsiTheme="minorHAnsi"/>
                <w:color w:val="C45911" w:themeColor="accent2" w:themeShade="BF"/>
                <w:sz w:val="20"/>
                <w:szCs w:val="20"/>
              </w:rPr>
              <w:t>Aplica-se a metodologia prevista nas OENR: escarpas naturais + Método do Valor Informativo</w:t>
            </w:r>
          </w:p>
          <w:p w:rsidR="00D1289C" w:rsidRDefault="00D1289C" w:rsidP="00422172">
            <w:pPr>
              <w:spacing w:after="0" w:line="240" w:lineRule="auto"/>
              <w:rPr>
                <w:rFonts w:asciiTheme="minorHAnsi" w:hAnsiTheme="minorHAnsi"/>
                <w:i/>
                <w:color w:val="C45911" w:themeColor="accent2" w:themeShade="BF"/>
                <w:sz w:val="20"/>
                <w:szCs w:val="20"/>
              </w:rPr>
            </w:pPr>
          </w:p>
          <w:p w:rsidR="00422172" w:rsidRDefault="00903638" w:rsidP="00422172">
            <w:pPr>
              <w:spacing w:after="0" w:line="240" w:lineRule="auto"/>
              <w:rPr>
                <w:rFonts w:asciiTheme="minorHAnsi" w:hAnsiTheme="minorHAnsi"/>
                <w:color w:val="C45911" w:themeColor="accent2" w:themeShade="BF"/>
                <w:sz w:val="20"/>
                <w:szCs w:val="20"/>
              </w:rPr>
            </w:pPr>
            <w:r w:rsidRPr="00903638">
              <w:rPr>
                <w:rFonts w:asciiTheme="minorHAnsi" w:hAnsiTheme="minorHAnsi"/>
                <w:color w:val="C45911" w:themeColor="accent2" w:themeShade="BF"/>
                <w:sz w:val="20"/>
                <w:szCs w:val="20"/>
              </w:rPr>
              <w:t>No Algarve, assinalam-se essencialmente as áreas de instabilidade das vertentes no concelho de Alcoutim, maioritariamente localizados ao longo dos barrancos de Alcoutenejo e dos Ladrões e da Ribeira da Foupana.</w:t>
            </w:r>
          </w:p>
          <w:p w:rsidR="00903638" w:rsidRPr="00903638" w:rsidRDefault="00903638" w:rsidP="00422172">
            <w:pPr>
              <w:spacing w:after="0" w:line="240" w:lineRule="auto"/>
              <w:rPr>
                <w:rFonts w:asciiTheme="minorHAnsi" w:hAnsiTheme="minorHAnsi"/>
                <w:color w:val="C45911" w:themeColor="accent2" w:themeShade="BF"/>
                <w:sz w:val="20"/>
                <w:szCs w:val="20"/>
              </w:rPr>
            </w:pPr>
          </w:p>
        </w:tc>
      </w:tr>
    </w:tbl>
    <w:p w:rsidR="00373BCC" w:rsidRDefault="00373BCC" w:rsidP="006672D9"/>
    <w:p w:rsidR="00E5231D" w:rsidRDefault="00E5231D" w:rsidP="006672D9">
      <w:pPr>
        <w:sectPr w:rsidR="00E5231D" w:rsidSect="007806B0">
          <w:type w:val="oddPage"/>
          <w:pgSz w:w="23814" w:h="16839" w:orient="landscape" w:code="8"/>
          <w:pgMar w:top="720" w:right="720" w:bottom="720" w:left="720" w:header="708" w:footer="708" w:gutter="0"/>
          <w:cols w:space="708"/>
          <w:docGrid w:linePitch="360"/>
        </w:sectPr>
      </w:pPr>
    </w:p>
    <w:p w:rsidR="006672D9" w:rsidRDefault="006672D9" w:rsidP="008C5D48">
      <w:pPr>
        <w:pStyle w:val="Titulo2"/>
      </w:pPr>
      <w:bookmarkStart w:id="7" w:name="_Toc451286476"/>
      <w:r>
        <w:lastRenderedPageBreak/>
        <w:t>I</w:t>
      </w:r>
      <w:r w:rsidRPr="00C0319A">
        <w:t>dentifica</w:t>
      </w:r>
      <w:r>
        <w:t>ção d</w:t>
      </w:r>
      <w:r w:rsidRPr="00C0319A">
        <w:t>as principais dificuldades/divergências</w:t>
      </w:r>
      <w:r>
        <w:t xml:space="preserve"> e das</w:t>
      </w:r>
      <w:r w:rsidRPr="00C0319A">
        <w:t xml:space="preserve"> soluções</w:t>
      </w:r>
      <w:r>
        <w:t xml:space="preserve"> </w:t>
      </w:r>
      <w:r w:rsidR="00256480">
        <w:t>adotadas</w:t>
      </w:r>
      <w:bookmarkEnd w:id="7"/>
    </w:p>
    <w:p w:rsidR="006672D9" w:rsidRDefault="00E61E70" w:rsidP="006672D9">
      <w:r>
        <w:t>Na tabela</w:t>
      </w:r>
      <w:r w:rsidR="006672D9">
        <w:t xml:space="preserve"> </w:t>
      </w:r>
      <w:r w:rsidR="003C18F6">
        <w:t>2</w:t>
      </w:r>
      <w:r w:rsidR="006672D9">
        <w:t xml:space="preserve"> é apresentada uma síntese </w:t>
      </w:r>
      <w:r w:rsidR="008C5D48">
        <w:t xml:space="preserve">das principais dificuldades </w:t>
      </w:r>
      <w:r w:rsidR="00732C5C">
        <w:t xml:space="preserve">identificadas </w:t>
      </w:r>
      <w:r w:rsidR="008C5D48">
        <w:t>e das soluções encontradas, até à data (quando aplicável)</w:t>
      </w:r>
      <w:r w:rsidR="006672D9">
        <w:t>.</w:t>
      </w:r>
    </w:p>
    <w:p w:rsidR="003C1E22" w:rsidRPr="00F70947" w:rsidRDefault="00E61E70" w:rsidP="00F70947">
      <w:pPr>
        <w:pStyle w:val="Legenda"/>
        <w:jc w:val="center"/>
        <w:rPr>
          <w:i w:val="0"/>
          <w:sz w:val="22"/>
          <w:szCs w:val="22"/>
        </w:rPr>
      </w:pPr>
      <w:bookmarkStart w:id="8" w:name="_Toc451286484"/>
      <w:r>
        <w:rPr>
          <w:i w:val="0"/>
          <w:sz w:val="22"/>
          <w:szCs w:val="22"/>
        </w:rPr>
        <w:t>Tabela</w:t>
      </w:r>
      <w:r w:rsidR="00F70947" w:rsidRPr="00F70947">
        <w:rPr>
          <w:i w:val="0"/>
          <w:sz w:val="22"/>
          <w:szCs w:val="22"/>
        </w:rPr>
        <w:t xml:space="preserve"> </w:t>
      </w:r>
      <w:r w:rsidR="00A56719">
        <w:rPr>
          <w:i w:val="0"/>
          <w:sz w:val="22"/>
          <w:szCs w:val="22"/>
        </w:rPr>
        <w:fldChar w:fldCharType="begin"/>
      </w:r>
      <w:r>
        <w:rPr>
          <w:i w:val="0"/>
          <w:sz w:val="22"/>
          <w:szCs w:val="22"/>
        </w:rPr>
        <w:instrText xml:space="preserve"> SEQ Tabela \* ARABIC </w:instrText>
      </w:r>
      <w:r w:rsidR="00A56719">
        <w:rPr>
          <w:i w:val="0"/>
          <w:sz w:val="22"/>
          <w:szCs w:val="22"/>
        </w:rPr>
        <w:fldChar w:fldCharType="separate"/>
      </w:r>
      <w:r w:rsidR="00265DC9">
        <w:rPr>
          <w:i w:val="0"/>
          <w:noProof/>
          <w:sz w:val="22"/>
          <w:szCs w:val="22"/>
        </w:rPr>
        <w:t>2</w:t>
      </w:r>
      <w:r w:rsidR="00A56719">
        <w:rPr>
          <w:i w:val="0"/>
          <w:sz w:val="22"/>
          <w:szCs w:val="22"/>
        </w:rPr>
        <w:fldChar w:fldCharType="end"/>
      </w:r>
      <w:r w:rsidR="00F70947">
        <w:rPr>
          <w:i w:val="0"/>
          <w:sz w:val="22"/>
          <w:szCs w:val="22"/>
        </w:rPr>
        <w:t xml:space="preserve"> </w:t>
      </w:r>
      <w:r w:rsidR="00AF111C" w:rsidRPr="00F70947">
        <w:rPr>
          <w:i w:val="0"/>
          <w:sz w:val="22"/>
          <w:szCs w:val="22"/>
        </w:rPr>
        <w:t>–</w:t>
      </w:r>
      <w:r w:rsidR="003C1E22" w:rsidRPr="00F70947">
        <w:rPr>
          <w:i w:val="0"/>
          <w:sz w:val="22"/>
          <w:szCs w:val="22"/>
        </w:rPr>
        <w:t xml:space="preserve"> </w:t>
      </w:r>
      <w:r w:rsidR="00AF111C" w:rsidRPr="00F70947">
        <w:rPr>
          <w:i w:val="0"/>
          <w:sz w:val="22"/>
          <w:szCs w:val="22"/>
        </w:rPr>
        <w:t xml:space="preserve">Sistematização das principais dificuldades de implementação do RJREN e Soluções encontradas, até </w:t>
      </w:r>
      <w:r w:rsidR="00F70947">
        <w:rPr>
          <w:i w:val="0"/>
          <w:sz w:val="22"/>
          <w:szCs w:val="22"/>
        </w:rPr>
        <w:t>à</w:t>
      </w:r>
      <w:r w:rsidR="00AF111C" w:rsidRPr="00F70947">
        <w:rPr>
          <w:i w:val="0"/>
          <w:sz w:val="22"/>
          <w:szCs w:val="22"/>
        </w:rPr>
        <w:t xml:space="preserve"> data</w:t>
      </w:r>
      <w:bookmarkEnd w:id="8"/>
    </w:p>
    <w:tbl>
      <w:tblPr>
        <w:tblStyle w:val="Tabelacomgrelha"/>
        <w:tblW w:w="14596" w:type="dxa"/>
        <w:tblLayout w:type="fixed"/>
        <w:tblLook w:val="04A0"/>
      </w:tblPr>
      <w:tblGrid>
        <w:gridCol w:w="3397"/>
        <w:gridCol w:w="5529"/>
        <w:gridCol w:w="5670"/>
      </w:tblGrid>
      <w:tr w:rsidR="003C1E22" w:rsidRPr="00F16AB7" w:rsidTr="00B81EE9">
        <w:trPr>
          <w:trHeight w:val="1084"/>
          <w:tblHeader/>
        </w:trPr>
        <w:tc>
          <w:tcPr>
            <w:tcW w:w="3397" w:type="dxa"/>
            <w:shd w:val="clear" w:color="auto" w:fill="A6A6A6" w:themeFill="background1" w:themeFillShade="A6"/>
            <w:vAlign w:val="center"/>
          </w:tcPr>
          <w:p w:rsidR="003C1E22" w:rsidRPr="00F16AB7" w:rsidRDefault="003C1E22" w:rsidP="00F16AB7">
            <w:pPr>
              <w:spacing w:after="60" w:line="240" w:lineRule="auto"/>
              <w:jc w:val="center"/>
              <w:rPr>
                <w:rFonts w:asciiTheme="minorHAnsi" w:hAnsiTheme="minorHAnsi"/>
                <w:b/>
                <w:sz w:val="20"/>
                <w:szCs w:val="20"/>
              </w:rPr>
            </w:pPr>
          </w:p>
        </w:tc>
        <w:tc>
          <w:tcPr>
            <w:tcW w:w="5529" w:type="dxa"/>
            <w:shd w:val="clear" w:color="auto" w:fill="A6A6A6" w:themeFill="background1" w:themeFillShade="A6"/>
            <w:vAlign w:val="center"/>
          </w:tcPr>
          <w:p w:rsidR="003C1E22" w:rsidRPr="00F16AB7" w:rsidRDefault="003C1E22" w:rsidP="00F16AB7">
            <w:pPr>
              <w:spacing w:after="60" w:line="240" w:lineRule="auto"/>
              <w:jc w:val="center"/>
              <w:rPr>
                <w:rFonts w:asciiTheme="minorHAnsi" w:hAnsiTheme="minorHAnsi"/>
                <w:b/>
                <w:sz w:val="20"/>
                <w:szCs w:val="20"/>
              </w:rPr>
            </w:pPr>
            <w:r w:rsidRPr="00F16AB7">
              <w:rPr>
                <w:rFonts w:asciiTheme="minorHAnsi" w:hAnsiTheme="minorHAnsi"/>
                <w:b/>
                <w:sz w:val="20"/>
                <w:szCs w:val="20"/>
              </w:rPr>
              <w:t>DIFICULDADES</w:t>
            </w:r>
          </w:p>
          <w:p w:rsidR="00732C5C" w:rsidRPr="00F16AB7" w:rsidRDefault="003C1E22" w:rsidP="00F16AB7">
            <w:pPr>
              <w:spacing w:after="60" w:line="240" w:lineRule="auto"/>
              <w:rPr>
                <w:rFonts w:asciiTheme="minorHAnsi" w:hAnsiTheme="minorHAnsi"/>
                <w:sz w:val="20"/>
                <w:szCs w:val="20"/>
              </w:rPr>
            </w:pPr>
            <w:r w:rsidRPr="00F16AB7">
              <w:rPr>
                <w:rFonts w:asciiTheme="minorHAnsi" w:hAnsiTheme="minorHAnsi"/>
                <w:sz w:val="20"/>
                <w:szCs w:val="20"/>
              </w:rPr>
              <w:t>RCM</w:t>
            </w:r>
            <w:r w:rsidR="00732C5C" w:rsidRPr="00F16AB7">
              <w:rPr>
                <w:rFonts w:asciiTheme="minorHAnsi" w:hAnsiTheme="minorHAnsi"/>
                <w:sz w:val="20"/>
                <w:szCs w:val="20"/>
              </w:rPr>
              <w:t xml:space="preserve"> </w:t>
            </w:r>
            <w:r w:rsidRPr="00F16AB7">
              <w:rPr>
                <w:rFonts w:asciiTheme="minorHAnsi" w:hAnsiTheme="minorHAnsi"/>
                <w:sz w:val="20"/>
                <w:szCs w:val="20"/>
              </w:rPr>
              <w:t>n</w:t>
            </w:r>
            <w:r w:rsidR="00732C5C" w:rsidRPr="00F16AB7">
              <w:rPr>
                <w:rFonts w:asciiTheme="minorHAnsi" w:hAnsiTheme="minorHAnsi"/>
                <w:sz w:val="20"/>
                <w:szCs w:val="20"/>
              </w:rPr>
              <w:t>.</w:t>
            </w:r>
            <w:r w:rsidRPr="00F16AB7">
              <w:rPr>
                <w:rFonts w:asciiTheme="minorHAnsi" w:hAnsiTheme="minorHAnsi"/>
                <w:sz w:val="20"/>
                <w:szCs w:val="20"/>
              </w:rPr>
              <w:t>º</w:t>
            </w:r>
            <w:r w:rsidR="00732C5C" w:rsidRPr="00F16AB7">
              <w:rPr>
                <w:rFonts w:asciiTheme="minorHAnsi" w:hAnsiTheme="minorHAnsi"/>
                <w:sz w:val="20"/>
                <w:szCs w:val="20"/>
              </w:rPr>
              <w:t xml:space="preserve"> </w:t>
            </w:r>
            <w:r w:rsidRPr="00F16AB7">
              <w:rPr>
                <w:rFonts w:asciiTheme="minorHAnsi" w:hAnsiTheme="minorHAnsi"/>
                <w:sz w:val="20"/>
                <w:szCs w:val="20"/>
              </w:rPr>
              <w:t>81/2012</w:t>
            </w:r>
            <w:r w:rsidR="00732C5C" w:rsidRPr="00F16AB7">
              <w:rPr>
                <w:rFonts w:asciiTheme="minorHAnsi" w:hAnsiTheme="minorHAnsi"/>
                <w:sz w:val="20"/>
                <w:szCs w:val="20"/>
              </w:rPr>
              <w:t xml:space="preserve"> </w:t>
            </w:r>
            <w:r w:rsidRPr="00F16AB7">
              <w:rPr>
                <w:rFonts w:asciiTheme="minorHAnsi" w:hAnsiTheme="minorHAnsi"/>
                <w:sz w:val="20"/>
                <w:szCs w:val="20"/>
              </w:rPr>
              <w:t>de</w:t>
            </w:r>
            <w:r w:rsidR="00732C5C" w:rsidRPr="00F16AB7">
              <w:rPr>
                <w:rFonts w:asciiTheme="minorHAnsi" w:hAnsiTheme="minorHAnsi"/>
                <w:sz w:val="20"/>
                <w:szCs w:val="20"/>
              </w:rPr>
              <w:t xml:space="preserve"> </w:t>
            </w:r>
            <w:r w:rsidRPr="00F16AB7">
              <w:rPr>
                <w:rFonts w:asciiTheme="minorHAnsi" w:hAnsiTheme="minorHAnsi"/>
                <w:sz w:val="20"/>
                <w:szCs w:val="20"/>
              </w:rPr>
              <w:t>3/10</w:t>
            </w:r>
            <w:r w:rsidR="00732C5C" w:rsidRPr="00F16AB7">
              <w:rPr>
                <w:rFonts w:asciiTheme="minorHAnsi" w:hAnsiTheme="minorHAnsi"/>
                <w:sz w:val="20"/>
                <w:szCs w:val="20"/>
              </w:rPr>
              <w:t xml:space="preserve"> </w:t>
            </w:r>
            <w:r w:rsidRPr="00F16AB7">
              <w:rPr>
                <w:rFonts w:asciiTheme="minorHAnsi" w:hAnsiTheme="minorHAnsi"/>
                <w:sz w:val="20"/>
                <w:szCs w:val="20"/>
              </w:rPr>
              <w:t>com</w:t>
            </w:r>
            <w:r w:rsidR="00732C5C" w:rsidRPr="00F16AB7">
              <w:rPr>
                <w:rFonts w:asciiTheme="minorHAnsi" w:hAnsiTheme="minorHAnsi"/>
                <w:sz w:val="20"/>
                <w:szCs w:val="20"/>
              </w:rPr>
              <w:t xml:space="preserve"> </w:t>
            </w:r>
            <w:r w:rsidRPr="00F16AB7">
              <w:rPr>
                <w:rFonts w:asciiTheme="minorHAnsi" w:hAnsiTheme="minorHAnsi"/>
                <w:sz w:val="20"/>
                <w:szCs w:val="20"/>
              </w:rPr>
              <w:t>a</w:t>
            </w:r>
            <w:r w:rsidR="00732C5C" w:rsidRPr="00F16AB7">
              <w:rPr>
                <w:rFonts w:asciiTheme="minorHAnsi" w:hAnsiTheme="minorHAnsi"/>
                <w:sz w:val="20"/>
                <w:szCs w:val="20"/>
              </w:rPr>
              <w:t xml:space="preserve"> </w:t>
            </w:r>
            <w:r w:rsidRPr="00F16AB7">
              <w:rPr>
                <w:rFonts w:asciiTheme="minorHAnsi" w:hAnsiTheme="minorHAnsi"/>
                <w:sz w:val="20"/>
                <w:szCs w:val="20"/>
              </w:rPr>
              <w:t>Declaração</w:t>
            </w:r>
            <w:r w:rsidR="00732C5C" w:rsidRPr="00F16AB7">
              <w:rPr>
                <w:rFonts w:asciiTheme="minorHAnsi" w:hAnsiTheme="minorHAnsi"/>
                <w:sz w:val="20"/>
                <w:szCs w:val="20"/>
              </w:rPr>
              <w:t xml:space="preserve"> </w:t>
            </w:r>
            <w:r w:rsidRPr="00F16AB7">
              <w:rPr>
                <w:rFonts w:asciiTheme="minorHAnsi" w:hAnsiTheme="minorHAnsi"/>
                <w:sz w:val="20"/>
                <w:szCs w:val="20"/>
              </w:rPr>
              <w:t>de</w:t>
            </w:r>
            <w:r w:rsidR="00732C5C" w:rsidRPr="00F16AB7">
              <w:rPr>
                <w:rFonts w:asciiTheme="minorHAnsi" w:hAnsiTheme="minorHAnsi"/>
                <w:sz w:val="20"/>
                <w:szCs w:val="20"/>
              </w:rPr>
              <w:t xml:space="preserve"> </w:t>
            </w:r>
            <w:r w:rsidRPr="00F16AB7">
              <w:rPr>
                <w:rFonts w:asciiTheme="minorHAnsi" w:hAnsiTheme="minorHAnsi"/>
                <w:sz w:val="20"/>
                <w:szCs w:val="20"/>
              </w:rPr>
              <w:t>Retificação</w:t>
            </w:r>
            <w:r w:rsidR="00732C5C" w:rsidRPr="00F16AB7">
              <w:rPr>
                <w:rFonts w:asciiTheme="minorHAnsi" w:hAnsiTheme="minorHAnsi"/>
                <w:sz w:val="20"/>
                <w:szCs w:val="20"/>
              </w:rPr>
              <w:t xml:space="preserve"> n.º </w:t>
            </w:r>
            <w:r w:rsidRPr="00F16AB7">
              <w:rPr>
                <w:rFonts w:asciiTheme="minorHAnsi" w:hAnsiTheme="minorHAnsi"/>
                <w:sz w:val="20"/>
                <w:szCs w:val="20"/>
              </w:rPr>
              <w:t>71/2012</w:t>
            </w:r>
            <w:r w:rsidR="00732C5C" w:rsidRPr="00F16AB7">
              <w:rPr>
                <w:rFonts w:asciiTheme="minorHAnsi" w:hAnsiTheme="minorHAnsi"/>
                <w:sz w:val="20"/>
                <w:szCs w:val="20"/>
              </w:rPr>
              <w:t xml:space="preserve"> </w:t>
            </w:r>
            <w:r w:rsidRPr="00F16AB7">
              <w:rPr>
                <w:rFonts w:asciiTheme="minorHAnsi" w:hAnsiTheme="minorHAnsi"/>
                <w:sz w:val="20"/>
                <w:szCs w:val="20"/>
              </w:rPr>
              <w:t>de</w:t>
            </w:r>
            <w:r w:rsidR="00732C5C" w:rsidRPr="00F16AB7">
              <w:rPr>
                <w:rFonts w:asciiTheme="minorHAnsi" w:hAnsiTheme="minorHAnsi"/>
                <w:sz w:val="20"/>
                <w:szCs w:val="20"/>
              </w:rPr>
              <w:t xml:space="preserve"> 30/</w:t>
            </w:r>
            <w:r w:rsidRPr="00F16AB7">
              <w:rPr>
                <w:rFonts w:asciiTheme="minorHAnsi" w:hAnsiTheme="minorHAnsi"/>
                <w:sz w:val="20"/>
                <w:szCs w:val="20"/>
              </w:rPr>
              <w:t xml:space="preserve">11 (Orientações Estratégicas de âmbito Nacional e </w:t>
            </w:r>
            <w:r w:rsidR="00732C5C" w:rsidRPr="00F16AB7">
              <w:rPr>
                <w:rFonts w:asciiTheme="minorHAnsi" w:hAnsiTheme="minorHAnsi"/>
                <w:sz w:val="20"/>
                <w:szCs w:val="20"/>
              </w:rPr>
              <w:t>Regional-OENRREN</w:t>
            </w:r>
          </w:p>
          <w:p w:rsidR="003C1E22" w:rsidRPr="00F16AB7" w:rsidRDefault="003C1E22" w:rsidP="00F16AB7">
            <w:pPr>
              <w:spacing w:after="60" w:line="240" w:lineRule="auto"/>
              <w:rPr>
                <w:rFonts w:asciiTheme="minorHAnsi" w:hAnsiTheme="minorHAnsi"/>
                <w:b/>
                <w:sz w:val="20"/>
                <w:szCs w:val="20"/>
              </w:rPr>
            </w:pPr>
            <w:r w:rsidRPr="00F16AB7">
              <w:rPr>
                <w:rFonts w:asciiTheme="minorHAnsi" w:hAnsiTheme="minorHAnsi"/>
                <w:sz w:val="20"/>
                <w:szCs w:val="20"/>
              </w:rPr>
              <w:t>Decreto-Lei 239/2012 de 2/11</w:t>
            </w:r>
          </w:p>
        </w:tc>
        <w:tc>
          <w:tcPr>
            <w:tcW w:w="5670" w:type="dxa"/>
            <w:shd w:val="clear" w:color="auto" w:fill="A6A6A6" w:themeFill="background1" w:themeFillShade="A6"/>
            <w:vAlign w:val="center"/>
          </w:tcPr>
          <w:p w:rsidR="003C1E22" w:rsidRPr="00F16AB7" w:rsidRDefault="003C1E22" w:rsidP="00F16AB7">
            <w:pPr>
              <w:spacing w:after="60" w:line="240" w:lineRule="auto"/>
              <w:jc w:val="center"/>
              <w:rPr>
                <w:rFonts w:asciiTheme="minorHAnsi" w:hAnsiTheme="minorHAnsi"/>
                <w:b/>
                <w:sz w:val="20"/>
                <w:szCs w:val="20"/>
              </w:rPr>
            </w:pPr>
            <w:r w:rsidRPr="00F16AB7">
              <w:rPr>
                <w:rFonts w:asciiTheme="minorHAnsi" w:hAnsiTheme="minorHAnsi"/>
                <w:b/>
                <w:sz w:val="20"/>
                <w:szCs w:val="20"/>
              </w:rPr>
              <w:t>SOLUÇÃO</w:t>
            </w:r>
          </w:p>
        </w:tc>
      </w:tr>
      <w:tr w:rsidR="003C1E22" w:rsidRPr="00F16AB7" w:rsidTr="00B81EE9">
        <w:trPr>
          <w:trHeight w:val="283"/>
        </w:trPr>
        <w:tc>
          <w:tcPr>
            <w:tcW w:w="339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3C1E22" w:rsidRPr="00F16AB7" w:rsidRDefault="00F16AB7" w:rsidP="00F16AB7">
            <w:pPr>
              <w:spacing w:after="60" w:line="240" w:lineRule="auto"/>
              <w:rPr>
                <w:rFonts w:asciiTheme="minorHAnsi" w:hAnsiTheme="minorHAnsi"/>
                <w:b/>
                <w:sz w:val="20"/>
                <w:szCs w:val="20"/>
              </w:rPr>
            </w:pPr>
            <w:r>
              <w:rPr>
                <w:rFonts w:asciiTheme="minorHAnsi" w:hAnsiTheme="minorHAnsi"/>
                <w:b/>
                <w:sz w:val="20"/>
                <w:szCs w:val="20"/>
              </w:rPr>
              <w:t>GERA</w:t>
            </w:r>
            <w:r w:rsidR="00732C5C" w:rsidRPr="00F16AB7">
              <w:rPr>
                <w:rFonts w:asciiTheme="minorHAnsi" w:hAnsiTheme="minorHAnsi"/>
                <w:b/>
                <w:sz w:val="20"/>
                <w:szCs w:val="20"/>
              </w:rPr>
              <w:t>L</w:t>
            </w:r>
          </w:p>
        </w:tc>
        <w:tc>
          <w:tcPr>
            <w:tcW w:w="5529" w:type="dxa"/>
            <w:tcBorders>
              <w:top w:val="single" w:sz="4" w:space="0" w:color="auto"/>
              <w:left w:val="nil"/>
              <w:bottom w:val="single" w:sz="4" w:space="0" w:color="auto"/>
              <w:right w:val="nil"/>
            </w:tcBorders>
            <w:shd w:val="clear" w:color="auto" w:fill="BFBFBF" w:themeFill="background1" w:themeFillShade="BF"/>
            <w:vAlign w:val="center"/>
          </w:tcPr>
          <w:p w:rsidR="003C1E22" w:rsidRPr="00F16AB7" w:rsidRDefault="003C1E22" w:rsidP="00F16AB7">
            <w:pPr>
              <w:spacing w:after="60" w:line="240" w:lineRule="auto"/>
              <w:rPr>
                <w:rFonts w:asciiTheme="minorHAnsi" w:hAnsiTheme="minorHAnsi"/>
                <w:b/>
                <w:sz w:val="20"/>
                <w:szCs w:val="20"/>
              </w:rPr>
            </w:pPr>
          </w:p>
        </w:tc>
        <w:tc>
          <w:tcPr>
            <w:tcW w:w="567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C1E22" w:rsidRPr="00F16AB7" w:rsidRDefault="003C1E22" w:rsidP="00F16AB7">
            <w:pPr>
              <w:spacing w:after="60" w:line="240" w:lineRule="auto"/>
              <w:rPr>
                <w:rFonts w:asciiTheme="minorHAnsi" w:hAnsiTheme="minorHAnsi"/>
                <w:b/>
                <w:sz w:val="20"/>
                <w:szCs w:val="20"/>
              </w:rPr>
            </w:pPr>
          </w:p>
        </w:tc>
      </w:tr>
      <w:tr w:rsidR="0092765C" w:rsidRPr="00F16AB7" w:rsidTr="00B81EE9">
        <w:tc>
          <w:tcPr>
            <w:tcW w:w="3397" w:type="dxa"/>
            <w:vMerge w:val="restart"/>
            <w:tcBorders>
              <w:top w:val="single" w:sz="4" w:space="0" w:color="auto"/>
            </w:tcBorders>
            <w:vAlign w:val="center"/>
          </w:tcPr>
          <w:p w:rsidR="0092765C" w:rsidRPr="00671A70" w:rsidRDefault="0092765C" w:rsidP="00671A70">
            <w:pPr>
              <w:pStyle w:val="PargrafodaLista"/>
              <w:numPr>
                <w:ilvl w:val="0"/>
                <w:numId w:val="18"/>
              </w:numPr>
              <w:spacing w:after="60" w:line="240" w:lineRule="auto"/>
              <w:ind w:left="313"/>
              <w:rPr>
                <w:rFonts w:asciiTheme="minorHAnsi" w:hAnsiTheme="minorHAnsi"/>
                <w:sz w:val="20"/>
                <w:szCs w:val="20"/>
              </w:rPr>
            </w:pPr>
            <w:r w:rsidRPr="00671A70">
              <w:rPr>
                <w:rFonts w:asciiTheme="minorHAnsi" w:hAnsiTheme="minorHAnsi"/>
                <w:sz w:val="20"/>
                <w:szCs w:val="20"/>
              </w:rPr>
              <w:t>Cartografia</w:t>
            </w:r>
          </w:p>
        </w:tc>
        <w:tc>
          <w:tcPr>
            <w:tcW w:w="5529" w:type="dxa"/>
            <w:tcBorders>
              <w:top w:val="single" w:sz="4" w:space="0" w:color="auto"/>
            </w:tcBorders>
            <w:vAlign w:val="center"/>
          </w:tcPr>
          <w:p w:rsidR="0092765C" w:rsidRPr="00D6708D" w:rsidRDefault="00BD1A8A" w:rsidP="00D6708D">
            <w:pPr>
              <w:pStyle w:val="PargrafodaLista"/>
              <w:numPr>
                <w:ilvl w:val="1"/>
                <w:numId w:val="20"/>
              </w:numPr>
              <w:spacing w:after="60" w:line="240" w:lineRule="auto"/>
              <w:ind w:left="318"/>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Ausência de cartografia oficial ou homologada, a uma escala adequada à complexidade e rigor dos modelos propostos nas OE, no que concerne a altimetria, hidrografia, geologia, carta de solos e capacidade de uso do solo e, ainda, inexistência de registos de ocorrências e/ou aceleração dos movimentos de massa em vertentes.</w:t>
            </w:r>
          </w:p>
        </w:tc>
        <w:tc>
          <w:tcPr>
            <w:tcW w:w="5670" w:type="dxa"/>
            <w:tcBorders>
              <w:top w:val="single" w:sz="4" w:space="0" w:color="auto"/>
            </w:tcBorders>
            <w:vAlign w:val="center"/>
          </w:tcPr>
          <w:p w:rsidR="0092765C" w:rsidRPr="00F16AB7" w:rsidRDefault="0092765C" w:rsidP="00F16AB7">
            <w:pPr>
              <w:spacing w:after="60" w:line="240" w:lineRule="auto"/>
              <w:rPr>
                <w:rFonts w:asciiTheme="minorHAnsi" w:hAnsiTheme="minorHAnsi"/>
                <w:sz w:val="20"/>
                <w:szCs w:val="20"/>
              </w:rPr>
            </w:pPr>
          </w:p>
        </w:tc>
      </w:tr>
      <w:tr w:rsidR="0092765C" w:rsidRPr="00F16AB7" w:rsidTr="00B81EE9">
        <w:tc>
          <w:tcPr>
            <w:tcW w:w="3397" w:type="dxa"/>
            <w:vMerge/>
            <w:vAlign w:val="center"/>
          </w:tcPr>
          <w:p w:rsidR="0092765C" w:rsidRPr="00F16AB7" w:rsidRDefault="0092765C" w:rsidP="00F16AB7">
            <w:pPr>
              <w:spacing w:after="60" w:line="240" w:lineRule="auto"/>
              <w:rPr>
                <w:rFonts w:asciiTheme="minorHAnsi" w:hAnsiTheme="minorHAnsi"/>
                <w:sz w:val="20"/>
                <w:szCs w:val="20"/>
              </w:rPr>
            </w:pPr>
          </w:p>
        </w:tc>
        <w:tc>
          <w:tcPr>
            <w:tcW w:w="5529" w:type="dxa"/>
            <w:vAlign w:val="center"/>
          </w:tcPr>
          <w:p w:rsidR="0092765C" w:rsidRPr="00F16AB7" w:rsidRDefault="00BD1A8A" w:rsidP="00BD1A8A">
            <w:pPr>
              <w:pStyle w:val="PargrafodaLista"/>
              <w:numPr>
                <w:ilvl w:val="1"/>
                <w:numId w:val="20"/>
              </w:numPr>
              <w:spacing w:after="60" w:line="240" w:lineRule="auto"/>
              <w:ind w:left="318"/>
              <w:rPr>
                <w:rFonts w:asciiTheme="minorHAnsi" w:hAnsiTheme="minorHAnsi"/>
                <w:color w:val="BF8F00" w:themeColor="accent4" w:themeShade="BF"/>
                <w:sz w:val="20"/>
                <w:szCs w:val="20"/>
              </w:rPr>
            </w:pPr>
            <w:r w:rsidRPr="00671A70">
              <w:rPr>
                <w:rFonts w:asciiTheme="minorHAnsi" w:hAnsiTheme="minorHAnsi"/>
                <w:color w:val="BF8F00" w:themeColor="accent4" w:themeShade="BF"/>
                <w:sz w:val="20"/>
                <w:szCs w:val="20"/>
              </w:rPr>
              <w:t>A cartografia da altimetria da DGT, 1/10 000, apresenta algumas deficiências, designadamente, a falta de coincidência/continuidade entre folhas e algumas lacunas pontuais;</w:t>
            </w:r>
          </w:p>
        </w:tc>
        <w:tc>
          <w:tcPr>
            <w:tcW w:w="5670" w:type="dxa"/>
            <w:vAlign w:val="center"/>
          </w:tcPr>
          <w:p w:rsidR="0092765C" w:rsidRPr="00F16AB7" w:rsidRDefault="0092765C" w:rsidP="00F16AB7">
            <w:pPr>
              <w:spacing w:after="60" w:line="240" w:lineRule="auto"/>
              <w:rPr>
                <w:rFonts w:asciiTheme="minorHAnsi" w:hAnsiTheme="minorHAnsi"/>
                <w:sz w:val="20"/>
                <w:szCs w:val="20"/>
              </w:rPr>
            </w:pPr>
          </w:p>
        </w:tc>
      </w:tr>
      <w:tr w:rsidR="0092765C" w:rsidRPr="00F16AB7" w:rsidTr="00B81EE9">
        <w:tc>
          <w:tcPr>
            <w:tcW w:w="3397" w:type="dxa"/>
            <w:vMerge/>
            <w:vAlign w:val="center"/>
          </w:tcPr>
          <w:p w:rsidR="0092765C" w:rsidRPr="00F16AB7" w:rsidRDefault="0092765C" w:rsidP="00F16AB7">
            <w:pPr>
              <w:spacing w:after="60" w:line="240" w:lineRule="auto"/>
              <w:rPr>
                <w:rFonts w:asciiTheme="minorHAnsi" w:hAnsiTheme="minorHAnsi"/>
                <w:sz w:val="20"/>
                <w:szCs w:val="20"/>
              </w:rPr>
            </w:pPr>
          </w:p>
        </w:tc>
        <w:tc>
          <w:tcPr>
            <w:tcW w:w="5529" w:type="dxa"/>
            <w:vAlign w:val="center"/>
          </w:tcPr>
          <w:p w:rsidR="0092765C" w:rsidRPr="00F16AB7" w:rsidRDefault="00BD1A8A" w:rsidP="00BD1A8A">
            <w:pPr>
              <w:pStyle w:val="PargrafodaLista"/>
              <w:numPr>
                <w:ilvl w:val="1"/>
                <w:numId w:val="20"/>
              </w:numPr>
              <w:spacing w:after="60" w:line="240" w:lineRule="auto"/>
              <w:ind w:left="318"/>
              <w:rPr>
                <w:rFonts w:asciiTheme="minorHAnsi" w:hAnsiTheme="minorHAnsi"/>
                <w:color w:val="BF8F00" w:themeColor="accent4" w:themeShade="BF"/>
                <w:sz w:val="20"/>
                <w:szCs w:val="20"/>
              </w:rPr>
            </w:pPr>
            <w:r w:rsidRPr="00F16AB7">
              <w:rPr>
                <w:rFonts w:asciiTheme="minorHAnsi" w:hAnsiTheme="minorHAnsi"/>
                <w:color w:val="BF8F00" w:themeColor="accent4" w:themeShade="BF"/>
                <w:sz w:val="20"/>
                <w:szCs w:val="20"/>
              </w:rPr>
              <w:t>Ausência de cobertura total do território da cartografia geológica 1/50 000;</w:t>
            </w:r>
          </w:p>
        </w:tc>
        <w:tc>
          <w:tcPr>
            <w:tcW w:w="5670" w:type="dxa"/>
            <w:vAlign w:val="center"/>
          </w:tcPr>
          <w:p w:rsidR="0092765C" w:rsidRPr="00F16AB7" w:rsidRDefault="0092765C" w:rsidP="00F16AB7">
            <w:pPr>
              <w:spacing w:after="60" w:line="240" w:lineRule="auto"/>
              <w:rPr>
                <w:rFonts w:asciiTheme="minorHAnsi" w:hAnsiTheme="minorHAnsi"/>
                <w:sz w:val="20"/>
                <w:szCs w:val="20"/>
              </w:rPr>
            </w:pPr>
          </w:p>
        </w:tc>
      </w:tr>
      <w:tr w:rsidR="003C1E22" w:rsidRPr="00F16AB7" w:rsidTr="00B81EE9">
        <w:tc>
          <w:tcPr>
            <w:tcW w:w="3397" w:type="dxa"/>
            <w:vAlign w:val="center"/>
          </w:tcPr>
          <w:p w:rsidR="003C1E22" w:rsidRPr="00F16AB7" w:rsidRDefault="00F70947"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t>Orientações estratégicas Nacionais e Regionais</w:t>
            </w:r>
          </w:p>
        </w:tc>
        <w:tc>
          <w:tcPr>
            <w:tcW w:w="5529" w:type="dxa"/>
            <w:vAlign w:val="center"/>
          </w:tcPr>
          <w:p w:rsidR="003C1E22" w:rsidRPr="00F16AB7" w:rsidRDefault="003C1E22" w:rsidP="00BD1A8A">
            <w:pPr>
              <w:pStyle w:val="PargrafodaLista"/>
              <w:numPr>
                <w:ilvl w:val="1"/>
                <w:numId w:val="20"/>
              </w:numPr>
              <w:spacing w:after="60" w:line="240" w:lineRule="auto"/>
              <w:ind w:left="318"/>
              <w:rPr>
                <w:rFonts w:asciiTheme="minorHAnsi" w:hAnsiTheme="minorHAnsi"/>
                <w:color w:val="BF8F00" w:themeColor="accent4" w:themeShade="BF"/>
                <w:sz w:val="20"/>
                <w:szCs w:val="20"/>
              </w:rPr>
            </w:pPr>
            <w:r w:rsidRPr="00F16AB7">
              <w:rPr>
                <w:rFonts w:asciiTheme="minorHAnsi" w:hAnsiTheme="minorHAnsi"/>
                <w:color w:val="BF8F00" w:themeColor="accent4" w:themeShade="BF"/>
                <w:sz w:val="20"/>
                <w:szCs w:val="20"/>
              </w:rPr>
              <w:t>De uma maneira geral os níveis de rigor pretendidos com as orientações estratégicas (que são de louvar) são pouco equilibrados com as fontes de informação disponíveis.</w:t>
            </w:r>
          </w:p>
        </w:tc>
        <w:tc>
          <w:tcPr>
            <w:tcW w:w="5670" w:type="dxa"/>
            <w:vAlign w:val="center"/>
          </w:tcPr>
          <w:p w:rsidR="003C1E22" w:rsidRPr="00F16AB7" w:rsidRDefault="003C1E22" w:rsidP="00F16AB7">
            <w:pPr>
              <w:spacing w:after="60" w:line="240" w:lineRule="auto"/>
              <w:rPr>
                <w:rFonts w:asciiTheme="minorHAnsi" w:hAnsiTheme="minorHAnsi"/>
                <w:sz w:val="20"/>
                <w:szCs w:val="20"/>
              </w:rPr>
            </w:pPr>
          </w:p>
        </w:tc>
      </w:tr>
      <w:tr w:rsidR="00BD1A8A" w:rsidRPr="00F16AB7" w:rsidTr="00B81EE9">
        <w:tc>
          <w:tcPr>
            <w:tcW w:w="3397" w:type="dxa"/>
            <w:vAlign w:val="center"/>
          </w:tcPr>
          <w:p w:rsidR="00BD1A8A" w:rsidRPr="00F16AB7" w:rsidRDefault="00BD1A8A" w:rsidP="00BD1A8A">
            <w:pPr>
              <w:pStyle w:val="PargrafodaLista"/>
              <w:numPr>
                <w:ilvl w:val="0"/>
                <w:numId w:val="20"/>
              </w:numPr>
              <w:spacing w:after="60" w:line="240" w:lineRule="auto"/>
              <w:ind w:left="313"/>
              <w:rPr>
                <w:rFonts w:asciiTheme="minorHAnsi" w:hAnsiTheme="minorHAnsi"/>
                <w:sz w:val="20"/>
                <w:szCs w:val="20"/>
              </w:rPr>
            </w:pPr>
          </w:p>
        </w:tc>
        <w:tc>
          <w:tcPr>
            <w:tcW w:w="5529" w:type="dxa"/>
            <w:vAlign w:val="center"/>
          </w:tcPr>
          <w:p w:rsidR="00BD1A8A" w:rsidRPr="00D6708D" w:rsidRDefault="00BD1A8A" w:rsidP="00D6708D">
            <w:pPr>
              <w:pStyle w:val="PargrafodaLista"/>
              <w:numPr>
                <w:ilvl w:val="1"/>
                <w:numId w:val="20"/>
              </w:numPr>
              <w:spacing w:after="60" w:line="240" w:lineRule="auto"/>
              <w:ind w:left="318"/>
              <w:rPr>
                <w:rFonts w:asciiTheme="minorHAnsi" w:hAnsiTheme="minorHAnsi"/>
                <w:color w:val="2E74B5" w:themeColor="accent1" w:themeShade="BF"/>
                <w:sz w:val="20"/>
                <w:szCs w:val="20"/>
              </w:rPr>
            </w:pPr>
            <w:r w:rsidRPr="00D6708D">
              <w:rPr>
                <w:rFonts w:asciiTheme="minorHAnsi" w:hAnsiTheme="minorHAnsi"/>
                <w:color w:val="2E74B5" w:themeColor="accent1" w:themeShade="BF"/>
                <w:sz w:val="20"/>
                <w:szCs w:val="20"/>
              </w:rPr>
              <w:t xml:space="preserve">Ausência de </w:t>
            </w:r>
            <w:r w:rsidRPr="00D6708D">
              <w:rPr>
                <w:rFonts w:asciiTheme="minorHAnsi" w:hAnsiTheme="minorHAnsi"/>
                <w:i/>
                <w:color w:val="2E74B5" w:themeColor="accent1" w:themeShade="BF"/>
                <w:sz w:val="20"/>
                <w:szCs w:val="20"/>
              </w:rPr>
              <w:t>software</w:t>
            </w:r>
            <w:r w:rsidRPr="00D6708D">
              <w:rPr>
                <w:rFonts w:asciiTheme="minorHAnsi" w:hAnsiTheme="minorHAnsi"/>
                <w:color w:val="2E74B5" w:themeColor="accent1" w:themeShade="BF"/>
                <w:sz w:val="20"/>
                <w:szCs w:val="20"/>
              </w:rPr>
              <w:t xml:space="preserve"> adequado à aplicação dos modelos para a delimitação das várias tipologias da REN, não nos permite uma validação efetiva das delimitações que nos vierem a ser apresentadas pelos municípios.</w:t>
            </w:r>
          </w:p>
        </w:tc>
        <w:tc>
          <w:tcPr>
            <w:tcW w:w="5670" w:type="dxa"/>
            <w:vAlign w:val="center"/>
          </w:tcPr>
          <w:p w:rsidR="00BD1A8A" w:rsidRPr="00F16AB7" w:rsidRDefault="00BD1A8A" w:rsidP="00F16AB7">
            <w:pPr>
              <w:spacing w:after="60" w:line="240" w:lineRule="auto"/>
              <w:rPr>
                <w:rFonts w:asciiTheme="minorHAnsi" w:hAnsiTheme="minorHAnsi"/>
                <w:sz w:val="20"/>
                <w:szCs w:val="20"/>
              </w:rPr>
            </w:pPr>
          </w:p>
        </w:tc>
      </w:tr>
      <w:tr w:rsidR="003C1E22" w:rsidRPr="00F16AB7" w:rsidTr="00B81EE9">
        <w:trPr>
          <w:trHeight w:val="283"/>
        </w:trPr>
        <w:tc>
          <w:tcPr>
            <w:tcW w:w="14596" w:type="dxa"/>
            <w:gridSpan w:val="3"/>
            <w:shd w:val="clear" w:color="auto" w:fill="BFBFBF" w:themeFill="background1" w:themeFillShade="BF"/>
            <w:vAlign w:val="center"/>
          </w:tcPr>
          <w:p w:rsidR="003C1E22" w:rsidRPr="00F16AB7" w:rsidRDefault="00F93A13" w:rsidP="00F16AB7">
            <w:pPr>
              <w:spacing w:after="60" w:line="240" w:lineRule="auto"/>
              <w:rPr>
                <w:rFonts w:asciiTheme="minorHAnsi" w:hAnsiTheme="minorHAnsi"/>
                <w:sz w:val="20"/>
                <w:szCs w:val="20"/>
              </w:rPr>
            </w:pPr>
            <w:r>
              <w:rPr>
                <w:rFonts w:asciiTheme="minorHAnsi" w:hAnsiTheme="minorHAnsi"/>
                <w:b/>
                <w:sz w:val="20"/>
                <w:szCs w:val="20"/>
              </w:rPr>
              <w:lastRenderedPageBreak/>
              <w:t xml:space="preserve">POR </w:t>
            </w:r>
            <w:r w:rsidR="000E04D1" w:rsidRPr="00F16AB7">
              <w:rPr>
                <w:rFonts w:asciiTheme="minorHAnsi" w:hAnsiTheme="minorHAnsi"/>
                <w:b/>
                <w:sz w:val="20"/>
                <w:szCs w:val="20"/>
              </w:rPr>
              <w:t>TIPOLOGIA DE ÁREAS INTEGRADAS NA REN</w:t>
            </w:r>
          </w:p>
        </w:tc>
      </w:tr>
      <w:tr w:rsidR="00873764" w:rsidRPr="00F16AB7" w:rsidTr="00B81EE9">
        <w:trPr>
          <w:trHeight w:val="283"/>
        </w:trPr>
        <w:tc>
          <w:tcPr>
            <w:tcW w:w="14596" w:type="dxa"/>
            <w:gridSpan w:val="3"/>
            <w:shd w:val="clear" w:color="auto" w:fill="D9D9D9" w:themeFill="background1" w:themeFillShade="D9"/>
            <w:vAlign w:val="center"/>
          </w:tcPr>
          <w:p w:rsidR="00873764" w:rsidRPr="00F16AB7" w:rsidRDefault="00873764" w:rsidP="00F16AB7">
            <w:pPr>
              <w:spacing w:after="60" w:line="240" w:lineRule="auto"/>
              <w:rPr>
                <w:rFonts w:asciiTheme="minorHAnsi" w:hAnsiTheme="minorHAnsi"/>
                <w:b/>
                <w:sz w:val="20"/>
                <w:szCs w:val="20"/>
              </w:rPr>
            </w:pPr>
            <w:r w:rsidRPr="00F16AB7">
              <w:rPr>
                <w:rFonts w:asciiTheme="minorHAnsi" w:hAnsiTheme="minorHAnsi"/>
                <w:b/>
                <w:sz w:val="20"/>
                <w:szCs w:val="20"/>
              </w:rPr>
              <w:t>ÁREAS DE PROTEÇÃO DO LITORAL</w:t>
            </w:r>
          </w:p>
        </w:tc>
      </w:tr>
      <w:tr w:rsidR="00C04FAC" w:rsidRPr="00F16AB7" w:rsidTr="00B81EE9">
        <w:tc>
          <w:tcPr>
            <w:tcW w:w="3397" w:type="dxa"/>
            <w:vAlign w:val="center"/>
          </w:tcPr>
          <w:p w:rsidR="00C04FAC" w:rsidRPr="00F16AB7" w:rsidRDefault="00873764"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t>Praias</w:t>
            </w:r>
          </w:p>
        </w:tc>
        <w:tc>
          <w:tcPr>
            <w:tcW w:w="5529" w:type="dxa"/>
            <w:vAlign w:val="center"/>
          </w:tcPr>
          <w:p w:rsidR="00C04FAC" w:rsidRPr="008B5227" w:rsidRDefault="00873764"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Limite inferior: batimétrica dos 8m (</w:t>
            </w:r>
            <w:proofErr w:type="spellStart"/>
            <w:r w:rsidRPr="008B5227">
              <w:rPr>
                <w:rFonts w:asciiTheme="minorHAnsi" w:hAnsiTheme="minorHAnsi"/>
                <w:color w:val="833C0B" w:themeColor="accent2" w:themeShade="80"/>
                <w:sz w:val="20"/>
                <w:szCs w:val="20"/>
              </w:rPr>
              <w:t>C.Espichel</w:t>
            </w:r>
            <w:proofErr w:type="spellEnd"/>
            <w:r w:rsidRPr="008B5227">
              <w:rPr>
                <w:rFonts w:asciiTheme="minorHAnsi" w:hAnsiTheme="minorHAnsi"/>
                <w:color w:val="833C0B" w:themeColor="accent2" w:themeShade="80"/>
                <w:sz w:val="20"/>
                <w:szCs w:val="20"/>
              </w:rPr>
              <w:t>/Outão) e batimétrica dos 16 m (restante área da LVT) indisponíveis.</w:t>
            </w:r>
          </w:p>
        </w:tc>
        <w:tc>
          <w:tcPr>
            <w:tcW w:w="5670" w:type="dxa"/>
            <w:vAlign w:val="center"/>
          </w:tcPr>
          <w:p w:rsidR="00C04FAC" w:rsidRPr="008B5227" w:rsidRDefault="00873764"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Utilização das batimétricas dos 10</w:t>
            </w:r>
            <w:r w:rsidR="00D6654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 e dos 20 m respetivamente.</w:t>
            </w:r>
          </w:p>
        </w:tc>
      </w:tr>
      <w:tr w:rsidR="00C04FAC" w:rsidRPr="00F16AB7" w:rsidTr="00B81EE9">
        <w:tc>
          <w:tcPr>
            <w:tcW w:w="3397" w:type="dxa"/>
            <w:vAlign w:val="center"/>
          </w:tcPr>
          <w:p w:rsidR="00C04FAC" w:rsidRPr="00F16AB7" w:rsidRDefault="00873764"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t>Arribas e respetivas faixas de proteção</w:t>
            </w:r>
          </w:p>
        </w:tc>
        <w:tc>
          <w:tcPr>
            <w:tcW w:w="5529" w:type="dxa"/>
            <w:vAlign w:val="center"/>
          </w:tcPr>
          <w:p w:rsidR="00C04FAC" w:rsidRPr="008B5227" w:rsidRDefault="00873764"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Alguma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subjetividade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possibilidade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F71414" w:rsidRPr="008B5227">
              <w:rPr>
                <w:rFonts w:asciiTheme="minorHAnsi" w:hAnsiTheme="minorHAnsi"/>
                <w:color w:val="833C0B" w:themeColor="accent2" w:themeShade="80"/>
                <w:sz w:val="20"/>
                <w:szCs w:val="20"/>
              </w:rPr>
              <w:t xml:space="preserve"> discricionariedade </w:t>
            </w:r>
            <w:r w:rsidRPr="008B5227">
              <w:rPr>
                <w:rFonts w:asciiTheme="minorHAnsi" w:hAnsiTheme="minorHAnsi"/>
                <w:color w:val="833C0B" w:themeColor="accent2" w:themeShade="80"/>
                <w:sz w:val="20"/>
                <w:szCs w:val="20"/>
              </w:rPr>
              <w:t>na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avaliação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dos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valores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cénico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geológico;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alguma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subjetividade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associada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objetivo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preservação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estabilidade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arriba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induzindo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à</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definição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uma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"área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tampão"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à</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faixa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determinada pela componente risco.</w:t>
            </w:r>
          </w:p>
        </w:tc>
        <w:tc>
          <w:tcPr>
            <w:tcW w:w="5670" w:type="dxa"/>
            <w:vAlign w:val="center"/>
          </w:tcPr>
          <w:p w:rsidR="00C04FAC" w:rsidRPr="008B5227" w:rsidRDefault="00873764" w:rsidP="00BE7FBE">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Atentas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subjetividades,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considerando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que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expetativa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agravamento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dos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fenómenos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extremos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pressupõe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uma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atitude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preventiva,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sugerindo,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nomeadamente,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que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não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sejam</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reduzidas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faixas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proteção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às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arribas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atualmente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em</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vigor,</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estabeleceu-se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como</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valor</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referência</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os</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200</w:t>
            </w:r>
            <w:r w:rsidR="00F71414"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metros. (GM CCDR LVT)</w:t>
            </w:r>
          </w:p>
        </w:tc>
      </w:tr>
      <w:tr w:rsidR="00C04FAC" w:rsidRPr="00F16AB7" w:rsidTr="00B81EE9">
        <w:tc>
          <w:tcPr>
            <w:tcW w:w="3397" w:type="dxa"/>
            <w:vAlign w:val="center"/>
          </w:tcPr>
          <w:p w:rsidR="00C04FAC" w:rsidRPr="00F16AB7" w:rsidRDefault="00873764"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t>Faixa Terrestre de Proteção Costeira</w:t>
            </w:r>
          </w:p>
        </w:tc>
        <w:tc>
          <w:tcPr>
            <w:tcW w:w="5529" w:type="dxa"/>
            <w:vAlign w:val="center"/>
          </w:tcPr>
          <w:p w:rsidR="00C04FAC" w:rsidRPr="008B5227" w:rsidRDefault="00BE7FBE"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D</w:t>
            </w:r>
            <w:r w:rsidR="00873764" w:rsidRPr="008B5227">
              <w:rPr>
                <w:rFonts w:asciiTheme="minorHAnsi" w:hAnsiTheme="minorHAnsi"/>
                <w:color w:val="833C0B" w:themeColor="accent2" w:themeShade="80"/>
                <w:sz w:val="20"/>
                <w:szCs w:val="20"/>
              </w:rPr>
              <w:t>ificuldade associada à obtenção do parâmetro espraio da onda.</w:t>
            </w:r>
          </w:p>
        </w:tc>
        <w:tc>
          <w:tcPr>
            <w:tcW w:w="5670" w:type="dxa"/>
            <w:vAlign w:val="center"/>
          </w:tcPr>
          <w:p w:rsidR="00C04FAC" w:rsidRPr="008B5227" w:rsidRDefault="00873764"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Esta tipologia é acompanhada pela APA considerando, nomeadamente, os trabalhos de avaliação do risco que tem vindo a desenvolver para o litoral.</w:t>
            </w:r>
          </w:p>
        </w:tc>
      </w:tr>
      <w:tr w:rsidR="00C04FAC" w:rsidRPr="00F16AB7" w:rsidTr="00B81EE9">
        <w:tc>
          <w:tcPr>
            <w:tcW w:w="3397" w:type="dxa"/>
            <w:vAlign w:val="center"/>
          </w:tcPr>
          <w:p w:rsidR="00C04FAC" w:rsidRPr="00F16AB7" w:rsidRDefault="00873764"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t>Águas de Transição e respetivos leitos e margens e faixas de proteção</w:t>
            </w:r>
          </w:p>
        </w:tc>
        <w:tc>
          <w:tcPr>
            <w:tcW w:w="5529" w:type="dxa"/>
            <w:vAlign w:val="center"/>
          </w:tcPr>
          <w:p w:rsidR="00C04FAC" w:rsidRPr="008B5227" w:rsidRDefault="00873764"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Não é claro se as águas de transição são cumulativamente leito de curso de água.</w:t>
            </w:r>
          </w:p>
        </w:tc>
        <w:tc>
          <w:tcPr>
            <w:tcW w:w="5670" w:type="dxa"/>
            <w:vAlign w:val="center"/>
          </w:tcPr>
          <w:p w:rsidR="00C04FAC" w:rsidRPr="008B5227" w:rsidRDefault="00873764"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As águas de transição não assumem cumulativamente a tipologia de leito de curso de água.</w:t>
            </w:r>
          </w:p>
        </w:tc>
      </w:tr>
      <w:tr w:rsidR="00873764" w:rsidRPr="00F16AB7" w:rsidTr="00B81EE9">
        <w:trPr>
          <w:trHeight w:val="283"/>
        </w:trPr>
        <w:tc>
          <w:tcPr>
            <w:tcW w:w="14596" w:type="dxa"/>
            <w:gridSpan w:val="3"/>
            <w:shd w:val="clear" w:color="auto" w:fill="D9D9D9" w:themeFill="background1" w:themeFillShade="D9"/>
            <w:vAlign w:val="center"/>
          </w:tcPr>
          <w:p w:rsidR="00873764" w:rsidRPr="00F16AB7" w:rsidRDefault="00873764" w:rsidP="00F16AB7">
            <w:pPr>
              <w:spacing w:after="60" w:line="240" w:lineRule="auto"/>
              <w:rPr>
                <w:rFonts w:asciiTheme="minorHAnsi" w:hAnsiTheme="minorHAnsi"/>
                <w:b/>
                <w:sz w:val="20"/>
                <w:szCs w:val="20"/>
              </w:rPr>
            </w:pPr>
            <w:r w:rsidRPr="00F16AB7">
              <w:rPr>
                <w:rFonts w:asciiTheme="minorHAnsi" w:hAnsiTheme="minorHAnsi"/>
                <w:b/>
                <w:sz w:val="20"/>
                <w:szCs w:val="20"/>
              </w:rPr>
              <w:t>ÁREAS RELEVANTES PARA A SUSTENTABILIDADE DO CICLO HIDROLÓGICO TERRESTRE</w:t>
            </w:r>
          </w:p>
        </w:tc>
      </w:tr>
      <w:tr w:rsidR="00873764" w:rsidRPr="00F16AB7" w:rsidTr="00B81EE9">
        <w:tc>
          <w:tcPr>
            <w:tcW w:w="3397" w:type="dxa"/>
            <w:vMerge w:val="restart"/>
            <w:vAlign w:val="center"/>
          </w:tcPr>
          <w:p w:rsidR="00873764" w:rsidRPr="00F16AB7" w:rsidRDefault="00873764"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t>Cursos de água e respetivos leitos e margens (LCA)</w:t>
            </w:r>
          </w:p>
        </w:tc>
        <w:tc>
          <w:tcPr>
            <w:tcW w:w="5529" w:type="dxa"/>
            <w:vAlign w:val="center"/>
          </w:tcPr>
          <w:p w:rsidR="00873764" w:rsidRPr="008B5227" w:rsidRDefault="00F71414"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Cartografia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base: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discrepância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entre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cartografias</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homologadas</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discrepância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entre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cartografia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homologada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6E685F" w:rsidRPr="008B5227">
              <w:rPr>
                <w:rFonts w:asciiTheme="minorHAnsi" w:hAnsiTheme="minorHAnsi"/>
                <w:color w:val="833C0B" w:themeColor="accent2" w:themeShade="80"/>
                <w:sz w:val="20"/>
                <w:szCs w:val="20"/>
              </w:rPr>
              <w:t xml:space="preserve"> </w:t>
            </w:r>
            <w:proofErr w:type="spellStart"/>
            <w:r w:rsidRPr="008B5227">
              <w:rPr>
                <w:rFonts w:asciiTheme="minorHAnsi" w:hAnsiTheme="minorHAnsi"/>
                <w:color w:val="833C0B" w:themeColor="accent2" w:themeShade="80"/>
                <w:sz w:val="20"/>
                <w:szCs w:val="20"/>
              </w:rPr>
              <w:t>ortofotomapas</w:t>
            </w:r>
            <w:proofErr w:type="spellEnd"/>
            <w:r w:rsidRPr="008B5227">
              <w:rPr>
                <w:rFonts w:asciiTheme="minorHAnsi" w:hAnsiTheme="minorHAnsi"/>
                <w:color w:val="833C0B" w:themeColor="accent2" w:themeShade="80"/>
                <w:sz w:val="20"/>
                <w:szCs w:val="20"/>
              </w:rPr>
              <w:t>.</w:t>
            </w:r>
          </w:p>
        </w:tc>
        <w:tc>
          <w:tcPr>
            <w:tcW w:w="5670" w:type="dxa"/>
            <w:vAlign w:val="center"/>
          </w:tcPr>
          <w:p w:rsidR="00873764" w:rsidRPr="008B5227" w:rsidRDefault="00F71414"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Deve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ser</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utilizada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cartografia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homologada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que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ofereça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mais</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confiança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(não</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obstante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possibilidade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ser</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utilizada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outra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cartografia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homologada,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as</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cartas</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militares</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têm</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sido</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indicadas</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como</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uma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base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fiável).</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Quando</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são</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identificadas</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discrepâncias</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entre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carta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homologada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terreno/</w:t>
            </w:r>
            <w:proofErr w:type="spellStart"/>
            <w:r w:rsidRPr="008B5227">
              <w:rPr>
                <w:rFonts w:asciiTheme="minorHAnsi" w:hAnsiTheme="minorHAnsi"/>
                <w:color w:val="833C0B" w:themeColor="accent2" w:themeShade="80"/>
                <w:sz w:val="20"/>
                <w:szCs w:val="20"/>
              </w:rPr>
              <w:t>ortofotomapa</w:t>
            </w:r>
            <w:proofErr w:type="spellEnd"/>
            <w:r w:rsidRPr="008B5227">
              <w:rPr>
                <w:rFonts w:asciiTheme="minorHAnsi" w:hAnsiTheme="minorHAnsi"/>
                <w:color w:val="833C0B" w:themeColor="accent2" w:themeShade="80"/>
                <w:sz w:val="20"/>
                <w:szCs w:val="20"/>
              </w:rPr>
              <w:t>,</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CM</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pondera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pertinência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delimitar</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conforme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w:t>
            </w:r>
            <w:r w:rsidR="006E685F" w:rsidRPr="008B5227">
              <w:rPr>
                <w:rFonts w:asciiTheme="minorHAnsi" w:hAnsiTheme="minorHAnsi"/>
                <w:color w:val="833C0B" w:themeColor="accent2" w:themeShade="80"/>
                <w:sz w:val="20"/>
                <w:szCs w:val="20"/>
              </w:rPr>
              <w:t xml:space="preserve"> </w:t>
            </w:r>
            <w:proofErr w:type="spellStart"/>
            <w:r w:rsidRPr="008B5227">
              <w:rPr>
                <w:rFonts w:asciiTheme="minorHAnsi" w:hAnsiTheme="minorHAnsi"/>
                <w:color w:val="833C0B" w:themeColor="accent2" w:themeShade="80"/>
                <w:sz w:val="20"/>
                <w:szCs w:val="20"/>
              </w:rPr>
              <w:t>ortofotomapa</w:t>
            </w:r>
            <w:proofErr w:type="spellEnd"/>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neste</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caso,</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fundamenta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opção</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assumida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memória</w:t>
            </w:r>
            <w:r w:rsidR="006E685F"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descritiva.</w:t>
            </w:r>
          </w:p>
        </w:tc>
      </w:tr>
      <w:tr w:rsidR="00BE7FBE" w:rsidRPr="00F16AB7" w:rsidTr="00B81EE9">
        <w:tc>
          <w:tcPr>
            <w:tcW w:w="3397" w:type="dxa"/>
            <w:vMerge/>
            <w:vAlign w:val="center"/>
          </w:tcPr>
          <w:p w:rsidR="00BE7FBE" w:rsidRPr="00F16AB7" w:rsidRDefault="00BE7FBE" w:rsidP="00BE7FBE">
            <w:pPr>
              <w:spacing w:after="60" w:line="240" w:lineRule="auto"/>
              <w:rPr>
                <w:rFonts w:asciiTheme="minorHAnsi" w:hAnsiTheme="minorHAnsi"/>
                <w:sz w:val="20"/>
                <w:szCs w:val="20"/>
              </w:rPr>
            </w:pPr>
          </w:p>
        </w:tc>
        <w:tc>
          <w:tcPr>
            <w:tcW w:w="5529" w:type="dxa"/>
            <w:vAlign w:val="center"/>
          </w:tcPr>
          <w:p w:rsidR="00BE7FBE" w:rsidRPr="00F16AB7" w:rsidRDefault="00BE7FBE" w:rsidP="00BD1A8A">
            <w:pPr>
              <w:pStyle w:val="PargrafodaLista"/>
              <w:numPr>
                <w:ilvl w:val="1"/>
                <w:numId w:val="20"/>
              </w:numPr>
              <w:spacing w:after="60" w:line="240" w:lineRule="auto"/>
              <w:ind w:left="318"/>
              <w:rPr>
                <w:rFonts w:asciiTheme="minorHAnsi" w:hAnsiTheme="minorHAnsi"/>
                <w:color w:val="C45911" w:themeColor="accent2" w:themeShade="BF"/>
                <w:sz w:val="20"/>
                <w:szCs w:val="20"/>
              </w:rPr>
            </w:pPr>
            <w:r w:rsidRPr="00F16AB7">
              <w:rPr>
                <w:rFonts w:asciiTheme="minorHAnsi" w:hAnsiTheme="minorHAnsi"/>
                <w:color w:val="BF8F00" w:themeColor="accent4" w:themeShade="BF"/>
                <w:sz w:val="20"/>
                <w:szCs w:val="20"/>
              </w:rPr>
              <w:t xml:space="preserve">A cartografia da hidrografia não é adequada ao estabelecimento de modelos digitais de terreno, apresentando, entre outros problemas, a falta de </w:t>
            </w:r>
            <w:r w:rsidRPr="00F16AB7">
              <w:rPr>
                <w:rFonts w:asciiTheme="minorHAnsi" w:hAnsiTheme="minorHAnsi"/>
                <w:color w:val="BF8F00" w:themeColor="accent4" w:themeShade="BF"/>
                <w:sz w:val="20"/>
                <w:szCs w:val="20"/>
              </w:rPr>
              <w:lastRenderedPageBreak/>
              <w:t>homogeneidade na classificação das linhas de água e linhas duplicadas a representar cursos de água (sem um eixo central a delimitar o leito);</w:t>
            </w:r>
          </w:p>
        </w:tc>
        <w:tc>
          <w:tcPr>
            <w:tcW w:w="5670" w:type="dxa"/>
            <w:vAlign w:val="center"/>
          </w:tcPr>
          <w:p w:rsidR="00BE7FBE" w:rsidRPr="00F16AB7" w:rsidRDefault="00BE7FBE" w:rsidP="00BE7FBE">
            <w:pPr>
              <w:spacing w:after="60" w:line="240" w:lineRule="auto"/>
              <w:rPr>
                <w:rFonts w:asciiTheme="minorHAnsi" w:hAnsiTheme="minorHAnsi"/>
                <w:color w:val="C45911" w:themeColor="accent2" w:themeShade="BF"/>
                <w:sz w:val="20"/>
                <w:szCs w:val="20"/>
              </w:rPr>
            </w:pPr>
          </w:p>
        </w:tc>
      </w:tr>
      <w:tr w:rsidR="00873764" w:rsidRPr="00F16AB7" w:rsidTr="00B81EE9">
        <w:tc>
          <w:tcPr>
            <w:tcW w:w="3397" w:type="dxa"/>
            <w:vMerge/>
            <w:vAlign w:val="center"/>
          </w:tcPr>
          <w:p w:rsidR="00873764" w:rsidRPr="00F16AB7" w:rsidRDefault="00873764" w:rsidP="00F16AB7">
            <w:pPr>
              <w:spacing w:after="60" w:line="240" w:lineRule="auto"/>
              <w:rPr>
                <w:rFonts w:asciiTheme="minorHAnsi" w:hAnsiTheme="minorHAnsi"/>
                <w:sz w:val="20"/>
                <w:szCs w:val="20"/>
              </w:rPr>
            </w:pPr>
          </w:p>
        </w:tc>
        <w:tc>
          <w:tcPr>
            <w:tcW w:w="5529" w:type="dxa"/>
            <w:vAlign w:val="center"/>
          </w:tcPr>
          <w:p w:rsidR="00873764" w:rsidRPr="008B5227" w:rsidRDefault="00F71414"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OENRREN</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referem</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que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podem</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ser</w:t>
            </w:r>
            <w:r w:rsidR="00294C1D" w:rsidRPr="008B5227">
              <w:rPr>
                <w:rFonts w:asciiTheme="minorHAnsi" w:hAnsiTheme="minorHAnsi"/>
                <w:color w:val="833C0B" w:themeColor="accent2" w:themeShade="80"/>
                <w:sz w:val="20"/>
                <w:szCs w:val="20"/>
              </w:rPr>
              <w:t xml:space="preserve"> incluídos </w:t>
            </w:r>
            <w:r w:rsidRPr="008B5227">
              <w:rPr>
                <w:rFonts w:asciiTheme="minorHAnsi" w:hAnsiTheme="minorHAnsi"/>
                <w:color w:val="833C0B" w:themeColor="accent2" w:themeShade="80"/>
                <w:sz w:val="20"/>
                <w:szCs w:val="20"/>
              </w:rPr>
              <w:t>na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REN</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LCA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associados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zonas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ameaçadas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pelas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cheias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(ZAC).</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Algumas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CM</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começaram</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por</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integrar</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REN</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todos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afluentes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afetados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pela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ZAC</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um</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LCA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principal</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(são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afetados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zona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confluência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entre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dois)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que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nalguns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casos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resulta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integração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REN</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um</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número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muito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vasto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LCA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com</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muito reduzida expressão.</w:t>
            </w:r>
          </w:p>
        </w:tc>
        <w:tc>
          <w:tcPr>
            <w:tcW w:w="5670" w:type="dxa"/>
            <w:vAlign w:val="center"/>
          </w:tcPr>
          <w:p w:rsidR="00873764" w:rsidRPr="008B5227" w:rsidRDefault="00BE7FBE" w:rsidP="00BE7FBE">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c</w:t>
            </w:r>
            <w:r w:rsidR="006C54F8"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w:t>
            </w:r>
            <w:r w:rsidR="00F71414" w:rsidRPr="008B5227">
              <w:rPr>
                <w:rFonts w:asciiTheme="minorHAnsi" w:hAnsiTheme="minorHAnsi"/>
                <w:color w:val="833C0B" w:themeColor="accent2" w:themeShade="80"/>
                <w:sz w:val="20"/>
                <w:szCs w:val="20"/>
              </w:rPr>
              <w:t>eavaliação</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das</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situações</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em</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causa</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com</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base</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no</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contributo</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que</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os</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referidos</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afluentes</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poderão</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ter</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para</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a</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situação</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de</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risco</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em</w:t>
            </w:r>
            <w:r w:rsidR="006C54F8"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análise.</w:t>
            </w:r>
          </w:p>
        </w:tc>
      </w:tr>
      <w:tr w:rsidR="003C1E22" w:rsidRPr="00F16AB7" w:rsidTr="00B81EE9">
        <w:tc>
          <w:tcPr>
            <w:tcW w:w="3397" w:type="dxa"/>
            <w:vMerge w:val="restart"/>
            <w:vAlign w:val="center"/>
          </w:tcPr>
          <w:p w:rsidR="003C1E22" w:rsidRPr="00F16AB7" w:rsidRDefault="003C1E22"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t>Áreas estratégicas de proteção e recarga de aquíferos (AEPRA)</w:t>
            </w:r>
          </w:p>
        </w:tc>
        <w:tc>
          <w:tcPr>
            <w:tcW w:w="5529" w:type="dxa"/>
            <w:vAlign w:val="center"/>
          </w:tcPr>
          <w:p w:rsidR="003C1E22" w:rsidRPr="00F16AB7" w:rsidRDefault="003C1E22" w:rsidP="00BD1A8A">
            <w:pPr>
              <w:pStyle w:val="PargrafodaLista"/>
              <w:numPr>
                <w:ilvl w:val="1"/>
                <w:numId w:val="20"/>
              </w:numPr>
              <w:spacing w:after="60" w:line="240" w:lineRule="auto"/>
              <w:ind w:left="318"/>
              <w:rPr>
                <w:rFonts w:asciiTheme="minorHAnsi" w:hAnsiTheme="minorHAnsi"/>
                <w:sz w:val="20"/>
                <w:szCs w:val="20"/>
              </w:rPr>
            </w:pPr>
            <w:r w:rsidRPr="00F16AB7">
              <w:rPr>
                <w:rFonts w:asciiTheme="minorHAnsi" w:hAnsiTheme="minorHAnsi"/>
                <w:color w:val="BF8F00" w:themeColor="accent4" w:themeShade="BF"/>
                <w:sz w:val="20"/>
                <w:szCs w:val="20"/>
              </w:rPr>
              <w:t>A metodologia de delimitação das áreas de recarga de aquíferos pode, em situações muito específicas, deixar por delimitar zonas de cabeceira que podem constituir zonas de recarga.</w:t>
            </w:r>
          </w:p>
        </w:tc>
        <w:tc>
          <w:tcPr>
            <w:tcW w:w="5670" w:type="dxa"/>
            <w:vAlign w:val="center"/>
          </w:tcPr>
          <w:p w:rsidR="003C1E22" w:rsidRPr="00F16AB7" w:rsidRDefault="003C1E22" w:rsidP="00F16AB7">
            <w:pPr>
              <w:spacing w:after="60" w:line="240" w:lineRule="auto"/>
              <w:rPr>
                <w:rFonts w:asciiTheme="minorHAnsi" w:hAnsiTheme="minorHAnsi"/>
                <w:sz w:val="20"/>
                <w:szCs w:val="20"/>
              </w:rPr>
            </w:pPr>
          </w:p>
        </w:tc>
      </w:tr>
      <w:tr w:rsidR="003C1E22" w:rsidRPr="00F16AB7" w:rsidTr="00B81EE9">
        <w:tc>
          <w:tcPr>
            <w:tcW w:w="3397" w:type="dxa"/>
            <w:vMerge/>
            <w:vAlign w:val="center"/>
          </w:tcPr>
          <w:p w:rsidR="003C1E22" w:rsidRPr="00F16AB7" w:rsidRDefault="003C1E22" w:rsidP="00F16AB7">
            <w:pPr>
              <w:spacing w:after="60" w:line="240" w:lineRule="auto"/>
              <w:rPr>
                <w:rFonts w:asciiTheme="minorHAnsi" w:hAnsiTheme="minorHAnsi"/>
                <w:sz w:val="20"/>
                <w:szCs w:val="20"/>
              </w:rPr>
            </w:pPr>
          </w:p>
        </w:tc>
        <w:tc>
          <w:tcPr>
            <w:tcW w:w="5529" w:type="dxa"/>
            <w:vAlign w:val="center"/>
          </w:tcPr>
          <w:p w:rsidR="003C1E22" w:rsidRPr="008B5227" w:rsidRDefault="003C1E22"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O Índice de Suscetibilidade definido para avaliar os aquíferos porosos utiliza um parâmetro que é difícil de obter com o rigor desejável, especificamente a profundidade da zona não saturada (D).</w:t>
            </w:r>
          </w:p>
        </w:tc>
        <w:tc>
          <w:tcPr>
            <w:tcW w:w="5670" w:type="dxa"/>
            <w:vAlign w:val="center"/>
          </w:tcPr>
          <w:p w:rsidR="003C1E22" w:rsidRPr="008B5227" w:rsidRDefault="003C1E22"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É Indicada a utilização do Índice de Recarga Efetiva (</w:t>
            </w:r>
            <w:proofErr w:type="spellStart"/>
            <w:r w:rsidRPr="008B5227">
              <w:rPr>
                <w:rFonts w:asciiTheme="minorHAnsi" w:hAnsiTheme="minorHAnsi"/>
                <w:color w:val="833C0B" w:themeColor="accent2" w:themeShade="80"/>
                <w:sz w:val="20"/>
                <w:szCs w:val="20"/>
              </w:rPr>
              <w:t>IRef</w:t>
            </w:r>
            <w:proofErr w:type="spellEnd"/>
            <w:r w:rsidRPr="008B5227">
              <w:rPr>
                <w:rFonts w:asciiTheme="minorHAnsi" w:hAnsiTheme="minorHAnsi"/>
                <w:color w:val="833C0B" w:themeColor="accent2" w:themeShade="80"/>
                <w:sz w:val="20"/>
                <w:szCs w:val="20"/>
              </w:rPr>
              <w:t xml:space="preserve">) que é semelhante ao ÍS sendo que não utiliza o parâmetro profundidade da zona não saturada mas, antes, a estrutura da zona vadosa. O </w:t>
            </w:r>
            <w:proofErr w:type="spellStart"/>
            <w:r w:rsidRPr="008B5227">
              <w:rPr>
                <w:rFonts w:asciiTheme="minorHAnsi" w:hAnsiTheme="minorHAnsi"/>
                <w:color w:val="833C0B" w:themeColor="accent2" w:themeShade="80"/>
                <w:sz w:val="20"/>
                <w:szCs w:val="20"/>
              </w:rPr>
              <w:t>IRef</w:t>
            </w:r>
            <w:proofErr w:type="spellEnd"/>
            <w:r w:rsidRPr="008B5227">
              <w:rPr>
                <w:rFonts w:asciiTheme="minorHAnsi" w:hAnsiTheme="minorHAnsi"/>
                <w:color w:val="833C0B" w:themeColor="accent2" w:themeShade="80"/>
                <w:sz w:val="20"/>
                <w:szCs w:val="20"/>
              </w:rPr>
              <w:t xml:space="preserve"> é uma metodologia indicada nos Planos de Gestão das Bacias Hidrográficas os quais são referidos nas OENRREN enquanto Informação fundamental à delimitação. Para obtenção deste parâmetro-estrutura da zona vadosa – as CM podem igualmente recorrer à informação constante em trabalhos em tempo realizados pelo IGOT para a CCDRLVT- Quadro Regional da REN da AML e do OVT – que avalia mas AEPRA através da aplicação do </w:t>
            </w:r>
            <w:proofErr w:type="spellStart"/>
            <w:r w:rsidRPr="008B5227">
              <w:rPr>
                <w:rFonts w:asciiTheme="minorHAnsi" w:hAnsiTheme="minorHAnsi"/>
                <w:color w:val="833C0B" w:themeColor="accent2" w:themeShade="80"/>
                <w:sz w:val="20"/>
                <w:szCs w:val="20"/>
              </w:rPr>
              <w:t>IRef</w:t>
            </w:r>
            <w:proofErr w:type="spellEnd"/>
            <w:r w:rsidRPr="008B5227">
              <w:rPr>
                <w:rFonts w:asciiTheme="minorHAnsi" w:hAnsiTheme="minorHAnsi"/>
                <w:color w:val="833C0B" w:themeColor="accent2" w:themeShade="80"/>
                <w:sz w:val="20"/>
                <w:szCs w:val="20"/>
              </w:rPr>
              <w:t>. (GM CCDR LVT)</w:t>
            </w:r>
          </w:p>
        </w:tc>
      </w:tr>
      <w:tr w:rsidR="00873764" w:rsidRPr="00F16AB7" w:rsidTr="00B81EE9">
        <w:trPr>
          <w:trHeight w:val="283"/>
        </w:trPr>
        <w:tc>
          <w:tcPr>
            <w:tcW w:w="14596" w:type="dxa"/>
            <w:gridSpan w:val="3"/>
            <w:shd w:val="clear" w:color="auto" w:fill="D9D9D9" w:themeFill="background1" w:themeFillShade="D9"/>
            <w:vAlign w:val="center"/>
          </w:tcPr>
          <w:p w:rsidR="00873764" w:rsidRPr="00F16AB7" w:rsidRDefault="00873764" w:rsidP="00F16AB7">
            <w:pPr>
              <w:spacing w:after="60" w:line="240" w:lineRule="auto"/>
              <w:rPr>
                <w:rFonts w:asciiTheme="minorHAnsi" w:hAnsiTheme="minorHAnsi"/>
                <w:b/>
                <w:sz w:val="20"/>
                <w:szCs w:val="20"/>
              </w:rPr>
            </w:pPr>
            <w:r w:rsidRPr="00F16AB7">
              <w:rPr>
                <w:rFonts w:asciiTheme="minorHAnsi" w:hAnsiTheme="minorHAnsi"/>
                <w:b/>
                <w:sz w:val="20"/>
                <w:szCs w:val="20"/>
              </w:rPr>
              <w:t>ÁREAS DE PREVENÇÃO DE RISCOS NATURAIS</w:t>
            </w:r>
          </w:p>
        </w:tc>
      </w:tr>
      <w:tr w:rsidR="00E51DE0" w:rsidRPr="00F16AB7" w:rsidTr="00B81EE9">
        <w:tc>
          <w:tcPr>
            <w:tcW w:w="3397" w:type="dxa"/>
            <w:vAlign w:val="center"/>
          </w:tcPr>
          <w:p w:rsidR="00E51DE0" w:rsidRPr="00F16AB7" w:rsidRDefault="00873764"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t>Zonas ameaçadas pelo mar</w:t>
            </w:r>
          </w:p>
        </w:tc>
        <w:tc>
          <w:tcPr>
            <w:tcW w:w="5529" w:type="dxa"/>
            <w:vAlign w:val="center"/>
          </w:tcPr>
          <w:p w:rsidR="00E51DE0" w:rsidRPr="008B5227" w:rsidRDefault="008F1DEB"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D</w:t>
            </w:r>
            <w:r w:rsidR="00F71414" w:rsidRPr="008B5227">
              <w:rPr>
                <w:rFonts w:asciiTheme="minorHAnsi" w:hAnsiTheme="minorHAnsi"/>
                <w:color w:val="833C0B" w:themeColor="accent2" w:themeShade="80"/>
                <w:sz w:val="20"/>
                <w:szCs w:val="20"/>
              </w:rPr>
              <w:t>ificuldade</w:t>
            </w:r>
            <w:r w:rsidR="00294C1D"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 xml:space="preserve">associada à obtenção do parâmetro espraio da </w:t>
            </w:r>
            <w:r w:rsidR="00F71414" w:rsidRPr="008B5227">
              <w:rPr>
                <w:rFonts w:asciiTheme="minorHAnsi" w:hAnsiTheme="minorHAnsi"/>
                <w:color w:val="833C0B" w:themeColor="accent2" w:themeShade="80"/>
                <w:sz w:val="20"/>
                <w:szCs w:val="20"/>
              </w:rPr>
              <w:lastRenderedPageBreak/>
              <w:t>onda.</w:t>
            </w:r>
          </w:p>
        </w:tc>
        <w:tc>
          <w:tcPr>
            <w:tcW w:w="5670" w:type="dxa"/>
            <w:vAlign w:val="center"/>
          </w:tcPr>
          <w:p w:rsidR="00E51DE0" w:rsidRPr="008B5227" w:rsidRDefault="00F71414"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lastRenderedPageBreak/>
              <w:t>Esta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tipologia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tem</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vindo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ser</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acompanhada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pela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APA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lastRenderedPageBreak/>
              <w:t>considerando,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nomeadamente,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trabalhos</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avaliação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risco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que</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têm</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vindo</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desenvolver</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para</w:t>
            </w:r>
            <w:r w:rsidR="00294C1D"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 litoral.</w:t>
            </w:r>
          </w:p>
        </w:tc>
      </w:tr>
      <w:tr w:rsidR="005A2821" w:rsidRPr="00F16AB7" w:rsidTr="00B81EE9">
        <w:tc>
          <w:tcPr>
            <w:tcW w:w="3397" w:type="dxa"/>
            <w:vMerge w:val="restart"/>
            <w:vAlign w:val="center"/>
          </w:tcPr>
          <w:p w:rsidR="005A2821" w:rsidRPr="00F16AB7" w:rsidRDefault="005A2821"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lastRenderedPageBreak/>
              <w:t>Áreas de elevado risco de erosão hídrica do solo (AEREHS)</w:t>
            </w:r>
          </w:p>
        </w:tc>
        <w:tc>
          <w:tcPr>
            <w:tcW w:w="5529" w:type="dxa"/>
            <w:vAlign w:val="center"/>
          </w:tcPr>
          <w:p w:rsidR="005A2821" w:rsidRPr="00977C36" w:rsidRDefault="00671A70" w:rsidP="00BD1A8A">
            <w:pPr>
              <w:pStyle w:val="PargrafodaLista"/>
              <w:numPr>
                <w:ilvl w:val="1"/>
                <w:numId w:val="20"/>
              </w:numPr>
              <w:spacing w:after="60" w:line="240" w:lineRule="auto"/>
              <w:ind w:left="318"/>
              <w:rPr>
                <w:rFonts w:asciiTheme="minorHAnsi" w:hAnsiTheme="minorHAnsi"/>
                <w:color w:val="385623" w:themeColor="accent6" w:themeShade="80"/>
                <w:sz w:val="20"/>
                <w:szCs w:val="20"/>
              </w:rPr>
            </w:pPr>
            <w:r>
              <w:rPr>
                <w:rFonts w:asciiTheme="minorHAnsi" w:hAnsiTheme="minorHAnsi"/>
                <w:color w:val="385623" w:themeColor="accent6" w:themeShade="80"/>
                <w:sz w:val="20"/>
                <w:szCs w:val="20"/>
              </w:rPr>
              <w:t xml:space="preserve"> </w:t>
            </w:r>
            <w:r w:rsidR="005A2821">
              <w:rPr>
                <w:rFonts w:asciiTheme="minorHAnsi" w:hAnsiTheme="minorHAnsi"/>
                <w:color w:val="385623" w:themeColor="accent6" w:themeShade="80"/>
                <w:sz w:val="20"/>
                <w:szCs w:val="20"/>
              </w:rPr>
              <w:t>M</w:t>
            </w:r>
            <w:r w:rsidR="005A2821" w:rsidRPr="00BA1E0F">
              <w:rPr>
                <w:rFonts w:asciiTheme="minorHAnsi" w:hAnsiTheme="minorHAnsi"/>
                <w:color w:val="385623" w:themeColor="accent6" w:themeShade="80"/>
                <w:sz w:val="20"/>
                <w:szCs w:val="20"/>
              </w:rPr>
              <w:t>odelo de identificação das AEREHS quanto</w:t>
            </w:r>
            <w:r w:rsidR="005A2821">
              <w:rPr>
                <w:rFonts w:asciiTheme="minorHAnsi" w:hAnsiTheme="minorHAnsi"/>
                <w:color w:val="385623" w:themeColor="accent6" w:themeShade="80"/>
                <w:sz w:val="20"/>
                <w:szCs w:val="20"/>
              </w:rPr>
              <w:t xml:space="preserve"> </w:t>
            </w:r>
            <w:r w:rsidR="005A2821" w:rsidRPr="00BA1E0F">
              <w:rPr>
                <w:rFonts w:asciiTheme="minorHAnsi" w:hAnsiTheme="minorHAnsi"/>
                <w:color w:val="385623" w:themeColor="accent6" w:themeShade="80"/>
                <w:sz w:val="20"/>
                <w:szCs w:val="20"/>
              </w:rPr>
              <w:t>aos limiares da classificação de risco e quanto à ponderação dos fatores C e P</w:t>
            </w:r>
          </w:p>
        </w:tc>
        <w:tc>
          <w:tcPr>
            <w:tcW w:w="5670" w:type="dxa"/>
            <w:vAlign w:val="center"/>
          </w:tcPr>
          <w:p w:rsidR="005A2821" w:rsidRPr="00977C36" w:rsidRDefault="005A2821" w:rsidP="005A2821">
            <w:pPr>
              <w:spacing w:after="60" w:line="240" w:lineRule="auto"/>
              <w:rPr>
                <w:rFonts w:asciiTheme="minorHAnsi" w:hAnsiTheme="minorHAnsi"/>
                <w:color w:val="385623" w:themeColor="accent6" w:themeShade="80"/>
                <w:sz w:val="20"/>
                <w:szCs w:val="20"/>
              </w:rPr>
            </w:pPr>
            <w:r w:rsidRPr="00977C36">
              <w:rPr>
                <w:rFonts w:asciiTheme="minorHAnsi" w:hAnsiTheme="minorHAnsi"/>
                <w:color w:val="385623" w:themeColor="accent6" w:themeShade="80"/>
                <w:sz w:val="20"/>
                <w:szCs w:val="20"/>
              </w:rPr>
              <w:t xml:space="preserve">Seguimento das análises e conclusões de trabalhos científicos e técnicos que </w:t>
            </w:r>
            <w:r w:rsidR="002855A0" w:rsidRPr="00977C36">
              <w:rPr>
                <w:rFonts w:asciiTheme="minorHAnsi" w:hAnsiTheme="minorHAnsi"/>
                <w:color w:val="385623" w:themeColor="accent6" w:themeShade="80"/>
                <w:sz w:val="20"/>
                <w:szCs w:val="20"/>
              </w:rPr>
              <w:t>atualmente</w:t>
            </w:r>
            <w:r w:rsidRPr="00977C36">
              <w:rPr>
                <w:rFonts w:asciiTheme="minorHAnsi" w:hAnsiTheme="minorHAnsi"/>
                <w:color w:val="385623" w:themeColor="accent6" w:themeShade="80"/>
                <w:sz w:val="20"/>
                <w:szCs w:val="20"/>
              </w:rPr>
              <w:t xml:space="preserve"> disponibilizam dados de base e métodos de cálculo relevantes para uma melhor aplicação dos </w:t>
            </w:r>
            <w:r w:rsidR="002855A0" w:rsidRPr="00977C36">
              <w:rPr>
                <w:rFonts w:asciiTheme="minorHAnsi" w:hAnsiTheme="minorHAnsi"/>
                <w:color w:val="385623" w:themeColor="accent6" w:themeShade="80"/>
                <w:sz w:val="20"/>
                <w:szCs w:val="20"/>
              </w:rPr>
              <w:t>fatores</w:t>
            </w:r>
            <w:r w:rsidRPr="00977C36">
              <w:rPr>
                <w:rFonts w:asciiTheme="minorHAnsi" w:hAnsiTheme="minorHAnsi"/>
                <w:color w:val="385623" w:themeColor="accent6" w:themeShade="80"/>
                <w:sz w:val="20"/>
                <w:szCs w:val="20"/>
              </w:rPr>
              <w:t xml:space="preserve"> da EUPS, designadamente:</w:t>
            </w:r>
          </w:p>
          <w:p w:rsidR="005A2821" w:rsidRPr="00977C36" w:rsidRDefault="005A2821" w:rsidP="005A2821">
            <w:pPr>
              <w:spacing w:after="60" w:line="240" w:lineRule="auto"/>
              <w:rPr>
                <w:rFonts w:asciiTheme="minorHAnsi" w:hAnsiTheme="minorHAnsi"/>
                <w:color w:val="385623" w:themeColor="accent6" w:themeShade="80"/>
                <w:sz w:val="20"/>
                <w:szCs w:val="20"/>
              </w:rPr>
            </w:pPr>
            <w:r w:rsidRPr="00977C36">
              <w:rPr>
                <w:rFonts w:asciiTheme="minorHAnsi" w:hAnsiTheme="minorHAnsi"/>
                <w:color w:val="385623" w:themeColor="accent6" w:themeShade="80"/>
                <w:sz w:val="20"/>
                <w:szCs w:val="20"/>
              </w:rPr>
              <w:t xml:space="preserve">1 O estudo e revisão da literatura de </w:t>
            </w:r>
            <w:proofErr w:type="spellStart"/>
            <w:r w:rsidRPr="00977C36">
              <w:rPr>
                <w:rFonts w:asciiTheme="minorHAnsi" w:hAnsiTheme="minorHAnsi"/>
                <w:color w:val="385623" w:themeColor="accent6" w:themeShade="80"/>
                <w:sz w:val="20"/>
                <w:szCs w:val="20"/>
              </w:rPr>
              <w:t>Verheijen</w:t>
            </w:r>
            <w:proofErr w:type="spellEnd"/>
            <w:r w:rsidRPr="00977C36">
              <w:rPr>
                <w:rFonts w:asciiTheme="minorHAnsi" w:hAnsiTheme="minorHAnsi"/>
                <w:color w:val="385623" w:themeColor="accent6" w:themeShade="80"/>
                <w:sz w:val="20"/>
                <w:szCs w:val="20"/>
              </w:rPr>
              <w:t xml:space="preserve"> </w:t>
            </w:r>
            <w:proofErr w:type="spellStart"/>
            <w:r w:rsidRPr="00977C36">
              <w:rPr>
                <w:rFonts w:asciiTheme="minorHAnsi" w:hAnsiTheme="minorHAnsi"/>
                <w:color w:val="385623" w:themeColor="accent6" w:themeShade="80"/>
                <w:sz w:val="20"/>
                <w:szCs w:val="20"/>
              </w:rPr>
              <w:t>et</w:t>
            </w:r>
            <w:proofErr w:type="spellEnd"/>
            <w:r w:rsidRPr="00977C36">
              <w:rPr>
                <w:rFonts w:asciiTheme="minorHAnsi" w:hAnsiTheme="minorHAnsi"/>
                <w:color w:val="385623" w:themeColor="accent6" w:themeShade="80"/>
                <w:sz w:val="20"/>
                <w:szCs w:val="20"/>
              </w:rPr>
              <w:t xml:space="preserve"> al. (2009), que aponta para taxas atuais de erosão do solo e limiares da designada “erosão do solo tolerável” na Europa, incluindo referências expressas a Portugal, muito inferiores ao valor da avaliação de risco elevado apontado na tabela da RCM nº 81/2012 de 3 de outubro, ou seja, muito inferiores ao valor de </w:t>
            </w:r>
            <w:proofErr w:type="spellStart"/>
            <w:r w:rsidRPr="00977C36">
              <w:rPr>
                <w:rFonts w:asciiTheme="minorHAnsi" w:hAnsiTheme="minorHAnsi"/>
                <w:color w:val="385623" w:themeColor="accent6" w:themeShade="80"/>
                <w:sz w:val="20"/>
                <w:szCs w:val="20"/>
              </w:rPr>
              <w:t>Pse</w:t>
            </w:r>
            <w:proofErr w:type="spellEnd"/>
            <w:r w:rsidRPr="00977C36">
              <w:rPr>
                <w:rFonts w:asciiTheme="minorHAnsi" w:hAnsiTheme="minorHAnsi"/>
                <w:color w:val="385623" w:themeColor="accent6" w:themeShade="80"/>
                <w:sz w:val="20"/>
                <w:szCs w:val="20"/>
              </w:rPr>
              <w:t xml:space="preserve"> &gt; = 55 </w:t>
            </w:r>
            <w:proofErr w:type="spellStart"/>
            <w:r w:rsidRPr="00977C36">
              <w:rPr>
                <w:rFonts w:asciiTheme="minorHAnsi" w:hAnsiTheme="minorHAnsi"/>
                <w:color w:val="385623" w:themeColor="accent6" w:themeShade="80"/>
                <w:sz w:val="20"/>
                <w:szCs w:val="20"/>
              </w:rPr>
              <w:t>ton</w:t>
            </w:r>
            <w:proofErr w:type="spellEnd"/>
            <w:r w:rsidRPr="00977C36">
              <w:rPr>
                <w:rFonts w:asciiTheme="minorHAnsi" w:hAnsiTheme="minorHAnsi"/>
                <w:color w:val="385623" w:themeColor="accent6" w:themeShade="80"/>
                <w:sz w:val="20"/>
                <w:szCs w:val="20"/>
              </w:rPr>
              <w:t>/</w:t>
            </w:r>
            <w:proofErr w:type="spellStart"/>
            <w:r w:rsidRPr="00977C36">
              <w:rPr>
                <w:rFonts w:asciiTheme="minorHAnsi" w:hAnsiTheme="minorHAnsi"/>
                <w:color w:val="385623" w:themeColor="accent6" w:themeShade="80"/>
                <w:sz w:val="20"/>
                <w:szCs w:val="20"/>
              </w:rPr>
              <w:t>ha.ano</w:t>
            </w:r>
            <w:proofErr w:type="spellEnd"/>
            <w:r w:rsidRPr="00977C36">
              <w:rPr>
                <w:rFonts w:asciiTheme="minorHAnsi" w:hAnsiTheme="minorHAnsi"/>
                <w:color w:val="385623" w:themeColor="accent6" w:themeShade="80"/>
                <w:sz w:val="20"/>
                <w:szCs w:val="20"/>
              </w:rPr>
              <w:t>;</w:t>
            </w:r>
          </w:p>
          <w:p w:rsidR="005A2821" w:rsidRPr="00977C36" w:rsidRDefault="005A2821" w:rsidP="005A2821">
            <w:pPr>
              <w:spacing w:after="60" w:line="240" w:lineRule="auto"/>
              <w:rPr>
                <w:rFonts w:asciiTheme="minorHAnsi" w:hAnsiTheme="minorHAnsi"/>
                <w:color w:val="385623" w:themeColor="accent6" w:themeShade="80"/>
                <w:sz w:val="20"/>
                <w:szCs w:val="20"/>
              </w:rPr>
            </w:pPr>
            <w:r w:rsidRPr="00977C36">
              <w:rPr>
                <w:rFonts w:asciiTheme="minorHAnsi" w:hAnsiTheme="minorHAnsi"/>
                <w:color w:val="385623" w:themeColor="accent6" w:themeShade="80"/>
                <w:sz w:val="20"/>
                <w:szCs w:val="20"/>
              </w:rPr>
              <w:t xml:space="preserve">2 Os exercícios regionalizados produzidos pelas CCDR, designadamente o trabalho da CCDRLVT disponibilizado no Guia metodológico para a delimitação da Reserva Ecológica Nacional em Lisboa e Vale do Tejo, (Versão de Trabalho), datado de abril de 2015 e atualmente em consulta de entidades, que aponta para a integração na REN das “áreas com maior ou igual a 25 </w:t>
            </w:r>
            <w:proofErr w:type="spellStart"/>
            <w:r w:rsidRPr="00977C36">
              <w:rPr>
                <w:rFonts w:asciiTheme="minorHAnsi" w:hAnsiTheme="minorHAnsi"/>
                <w:color w:val="385623" w:themeColor="accent6" w:themeShade="80"/>
                <w:sz w:val="20"/>
                <w:szCs w:val="20"/>
              </w:rPr>
              <w:t>ton</w:t>
            </w:r>
            <w:proofErr w:type="spellEnd"/>
            <w:r w:rsidRPr="00977C36">
              <w:rPr>
                <w:rFonts w:asciiTheme="minorHAnsi" w:hAnsiTheme="minorHAnsi"/>
                <w:color w:val="385623" w:themeColor="accent6" w:themeShade="80"/>
                <w:sz w:val="20"/>
                <w:szCs w:val="20"/>
              </w:rPr>
              <w:t>/</w:t>
            </w:r>
            <w:proofErr w:type="spellStart"/>
            <w:r w:rsidRPr="00977C36">
              <w:rPr>
                <w:rFonts w:asciiTheme="minorHAnsi" w:hAnsiTheme="minorHAnsi"/>
                <w:color w:val="385623" w:themeColor="accent6" w:themeShade="80"/>
                <w:sz w:val="20"/>
                <w:szCs w:val="20"/>
              </w:rPr>
              <w:t>ha.ano</w:t>
            </w:r>
            <w:proofErr w:type="spellEnd"/>
            <w:r w:rsidRPr="00977C36">
              <w:rPr>
                <w:rFonts w:asciiTheme="minorHAnsi" w:hAnsiTheme="minorHAnsi"/>
                <w:color w:val="385623" w:themeColor="accent6" w:themeShade="80"/>
                <w:sz w:val="20"/>
                <w:szCs w:val="20"/>
              </w:rPr>
              <w:t>, bem como as que apresentem valores inferiores mas sejam necessárias à estabilidade e compacidade das anteriores”;</w:t>
            </w:r>
          </w:p>
          <w:p w:rsidR="005A2821" w:rsidRPr="00977C36" w:rsidRDefault="005A2821" w:rsidP="005A2821">
            <w:pPr>
              <w:spacing w:after="60" w:line="240" w:lineRule="auto"/>
              <w:rPr>
                <w:rFonts w:asciiTheme="minorHAnsi" w:hAnsiTheme="minorHAnsi"/>
                <w:color w:val="385623" w:themeColor="accent6" w:themeShade="80"/>
                <w:sz w:val="20"/>
                <w:szCs w:val="20"/>
              </w:rPr>
            </w:pPr>
            <w:r w:rsidRPr="00977C36">
              <w:rPr>
                <w:rFonts w:asciiTheme="minorHAnsi" w:hAnsiTheme="minorHAnsi"/>
                <w:color w:val="385623" w:themeColor="accent6" w:themeShade="80"/>
                <w:sz w:val="20"/>
                <w:szCs w:val="20"/>
              </w:rPr>
              <w:t xml:space="preserve">3 Os também muito recentes trabalhos do </w:t>
            </w:r>
            <w:proofErr w:type="spellStart"/>
            <w:r w:rsidRPr="00977C36">
              <w:rPr>
                <w:rFonts w:asciiTheme="minorHAnsi" w:hAnsiTheme="minorHAnsi"/>
                <w:color w:val="385623" w:themeColor="accent6" w:themeShade="80"/>
                <w:sz w:val="20"/>
                <w:szCs w:val="20"/>
              </w:rPr>
              <w:t>Joint</w:t>
            </w:r>
            <w:proofErr w:type="spellEnd"/>
            <w:r w:rsidRPr="00977C36">
              <w:rPr>
                <w:rFonts w:asciiTheme="minorHAnsi" w:hAnsiTheme="minorHAnsi"/>
                <w:color w:val="385623" w:themeColor="accent6" w:themeShade="80"/>
                <w:sz w:val="20"/>
                <w:szCs w:val="20"/>
              </w:rPr>
              <w:t xml:space="preserve"> Research </w:t>
            </w:r>
            <w:proofErr w:type="spellStart"/>
            <w:r w:rsidRPr="00977C36">
              <w:rPr>
                <w:rFonts w:asciiTheme="minorHAnsi" w:hAnsiTheme="minorHAnsi"/>
                <w:color w:val="385623" w:themeColor="accent6" w:themeShade="80"/>
                <w:sz w:val="20"/>
                <w:szCs w:val="20"/>
              </w:rPr>
              <w:t>Center</w:t>
            </w:r>
            <w:proofErr w:type="spellEnd"/>
            <w:r w:rsidRPr="00977C36">
              <w:rPr>
                <w:rFonts w:asciiTheme="minorHAnsi" w:hAnsiTheme="minorHAnsi"/>
                <w:color w:val="385623" w:themeColor="accent6" w:themeShade="80"/>
                <w:sz w:val="20"/>
                <w:szCs w:val="20"/>
              </w:rPr>
              <w:t xml:space="preserve"> (JRC), da Comissão Europeia, que têm vindo a publicar os resultados do </w:t>
            </w:r>
            <w:proofErr w:type="spellStart"/>
            <w:r w:rsidRPr="00977C36">
              <w:rPr>
                <w:rFonts w:asciiTheme="minorHAnsi" w:hAnsiTheme="minorHAnsi"/>
                <w:color w:val="385623" w:themeColor="accent6" w:themeShade="80"/>
                <w:sz w:val="20"/>
                <w:szCs w:val="20"/>
              </w:rPr>
              <w:t>projecto</w:t>
            </w:r>
            <w:proofErr w:type="spellEnd"/>
            <w:r w:rsidRPr="00977C36">
              <w:rPr>
                <w:rFonts w:asciiTheme="minorHAnsi" w:hAnsiTheme="minorHAnsi"/>
                <w:color w:val="385623" w:themeColor="accent6" w:themeShade="80"/>
                <w:sz w:val="20"/>
                <w:szCs w:val="20"/>
              </w:rPr>
              <w:t xml:space="preserve"> de investigação aplicada sobre os vários parâmetros da EUPS (R1, K2, LS3 e P4), disponibilizando dados de base e informação georreferenciada com elevada resolução, que permitem suportar a construção e/ou validação de modelos de </w:t>
            </w:r>
            <w:r w:rsidRPr="00977C36">
              <w:rPr>
                <w:rFonts w:asciiTheme="minorHAnsi" w:hAnsiTheme="minorHAnsi"/>
                <w:color w:val="385623" w:themeColor="accent6" w:themeShade="80"/>
                <w:sz w:val="20"/>
                <w:szCs w:val="20"/>
              </w:rPr>
              <w:lastRenderedPageBreak/>
              <w:t>cálculo e de identificação das áreas de elevado risco de erosão hídrica do solo, aplicados a territórios específicos em toda a UE.</w:t>
            </w: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F16AB7" w:rsidRDefault="00671A70" w:rsidP="00BD1A8A">
            <w:pPr>
              <w:pStyle w:val="PargrafodaLista"/>
              <w:numPr>
                <w:ilvl w:val="1"/>
                <w:numId w:val="20"/>
              </w:numPr>
              <w:spacing w:after="60" w:line="240" w:lineRule="auto"/>
              <w:ind w:left="318"/>
              <w:rPr>
                <w:rFonts w:asciiTheme="minorHAnsi" w:hAnsiTheme="minorHAnsi"/>
                <w:color w:val="BF8F00" w:themeColor="accent4" w:themeShade="BF"/>
                <w:sz w:val="20"/>
                <w:szCs w:val="20"/>
              </w:rPr>
            </w:pPr>
            <w:r>
              <w:rPr>
                <w:rFonts w:asciiTheme="minorHAnsi" w:hAnsiTheme="minorHAnsi"/>
                <w:color w:val="BF8F00" w:themeColor="accent4" w:themeShade="BF"/>
                <w:sz w:val="20"/>
                <w:szCs w:val="20"/>
              </w:rPr>
              <w:t xml:space="preserve"> </w:t>
            </w:r>
            <w:r w:rsidR="005A2821" w:rsidRPr="00F16AB7">
              <w:rPr>
                <w:rFonts w:asciiTheme="minorHAnsi" w:hAnsiTheme="minorHAnsi"/>
                <w:color w:val="BF8F00" w:themeColor="accent4" w:themeShade="BF"/>
                <w:sz w:val="20"/>
                <w:szCs w:val="20"/>
              </w:rPr>
              <w:t>O grau de precisão com que são propostos os modelos de risco de erosão (células de 10 metros) não são compatíveis com a informação da classificação do solo desatualizada.</w:t>
            </w:r>
          </w:p>
        </w:tc>
        <w:tc>
          <w:tcPr>
            <w:tcW w:w="5670" w:type="dxa"/>
            <w:vAlign w:val="center"/>
          </w:tcPr>
          <w:p w:rsidR="005A2821" w:rsidRPr="00F16AB7" w:rsidRDefault="005A2821" w:rsidP="00F16AB7">
            <w:pPr>
              <w:spacing w:after="60" w:line="240" w:lineRule="auto"/>
              <w:rPr>
                <w:rFonts w:asciiTheme="minorHAnsi" w:hAnsiTheme="minorHAnsi"/>
                <w:sz w:val="20"/>
                <w:szCs w:val="20"/>
              </w:rPr>
            </w:pP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8B5227" w:rsidRDefault="00671A70"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 </w:t>
            </w:r>
            <w:r w:rsidR="005A2821" w:rsidRPr="008B5227">
              <w:rPr>
                <w:rFonts w:asciiTheme="minorHAnsi" w:hAnsiTheme="minorHAnsi"/>
                <w:color w:val="833C0B" w:themeColor="accent2" w:themeShade="80"/>
                <w:sz w:val="20"/>
                <w:szCs w:val="20"/>
              </w:rPr>
              <w:t>Cálculo da Erosão Específica do Solo (A) – A Equação Universal da Perda do Solo (EUPS) considera fatores que podem ter uma grande mutabilidade e heterogeneidade no interior do concelho, designadamente o fator C – relativo ao tipo de cultura</w:t>
            </w:r>
            <w:r w:rsidR="008F1DEB" w:rsidRPr="008B5227">
              <w:rPr>
                <w:rFonts w:asciiTheme="minorHAnsi" w:hAnsiTheme="minorHAnsi"/>
                <w:color w:val="833C0B" w:themeColor="accent2" w:themeShade="80"/>
                <w:sz w:val="20"/>
                <w:szCs w:val="20"/>
              </w:rPr>
              <w:t xml:space="preserve"> -,</w:t>
            </w:r>
            <w:r w:rsidR="005A2821" w:rsidRPr="008B5227">
              <w:rPr>
                <w:rFonts w:asciiTheme="minorHAnsi" w:hAnsiTheme="minorHAnsi"/>
                <w:color w:val="833C0B" w:themeColor="accent2" w:themeShade="80"/>
                <w:sz w:val="20"/>
                <w:szCs w:val="20"/>
              </w:rPr>
              <w:t xml:space="preserve"> e o fator P - fator antrópico baseado na densidade populacional.</w:t>
            </w:r>
          </w:p>
        </w:tc>
        <w:tc>
          <w:tcPr>
            <w:tcW w:w="5670" w:type="dxa"/>
            <w:vAlign w:val="center"/>
          </w:tcPr>
          <w:p w:rsidR="005A2821" w:rsidRPr="008B5227" w:rsidRDefault="005A2821"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 Na impossibilidade de determinar um valor que traduza aquelas mutabilidade e heterogeneidade, os fatores C e P assumem cada um, com caracter preventivo, um valor constante que não afeta o resultado das restantes variáveis (o valor 1). (GM CCDR LVT)</w:t>
            </w: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8B5227" w:rsidRDefault="005A2821"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 Não é claro em que unidades deve ser utilizado o K.</w:t>
            </w:r>
          </w:p>
        </w:tc>
        <w:tc>
          <w:tcPr>
            <w:tcW w:w="5670" w:type="dxa"/>
            <w:vAlign w:val="center"/>
          </w:tcPr>
          <w:p w:rsidR="005A2821" w:rsidRPr="008B5227" w:rsidRDefault="005A2821"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O K é utilizado em SI (Sistema Internacional). (GM CCDR LVT)</w:t>
            </w: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8B5227" w:rsidRDefault="00671A70"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 </w:t>
            </w:r>
            <w:r w:rsidR="005A2821" w:rsidRPr="008B5227">
              <w:rPr>
                <w:rFonts w:asciiTheme="minorHAnsi" w:hAnsiTheme="minorHAnsi"/>
                <w:color w:val="833C0B" w:themeColor="accent2" w:themeShade="80"/>
                <w:sz w:val="20"/>
                <w:szCs w:val="20"/>
              </w:rPr>
              <w:t>O Calculo do LS revelou alguma complexidade.</w:t>
            </w:r>
          </w:p>
        </w:tc>
        <w:tc>
          <w:tcPr>
            <w:tcW w:w="5670" w:type="dxa"/>
            <w:vAlign w:val="center"/>
          </w:tcPr>
          <w:p w:rsidR="005A2821" w:rsidRPr="008B5227" w:rsidRDefault="005A2821"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Considerando que as OENRREN indicam a possibilidade de utilização de ferramenta SIG para o cálculo do LS, é apresentada no GUIA uma expressão alternativa que foi testada por algumas CM e que se mostrou fiável (modelo desenvolvido por </w:t>
            </w:r>
            <w:proofErr w:type="spellStart"/>
            <w:r w:rsidRPr="008B5227">
              <w:rPr>
                <w:rFonts w:asciiTheme="minorHAnsi" w:hAnsiTheme="minorHAnsi"/>
                <w:color w:val="833C0B" w:themeColor="accent2" w:themeShade="80"/>
                <w:sz w:val="20"/>
                <w:szCs w:val="20"/>
              </w:rPr>
              <w:t>Mitasova</w:t>
            </w:r>
            <w:proofErr w:type="spellEnd"/>
            <w:r w:rsidRPr="008B5227">
              <w:rPr>
                <w:rFonts w:asciiTheme="minorHAnsi" w:hAnsiTheme="minorHAnsi"/>
                <w:color w:val="833C0B" w:themeColor="accent2" w:themeShade="80"/>
                <w:sz w:val="20"/>
                <w:szCs w:val="20"/>
              </w:rPr>
              <w:t>). Não obstante, até à data, a maioria das CM optou pela expressão indicada nas OENR REN. (GM CCDR LVT)</w:t>
            </w: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8B5227" w:rsidRDefault="005A2821" w:rsidP="00671A70">
            <w:pPr>
              <w:pStyle w:val="PargrafodaLista"/>
              <w:numPr>
                <w:ilvl w:val="0"/>
                <w:numId w:val="19"/>
              </w:num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Componente λ (comprimento do desnível em pés). Esta componente é calculada a partir do Mapa do Sentido dos Fluxos / Acumulação de Fluxos. No entanto, o valor do fluxo acumulado pode incluir células que se encontram em fundos de vales planos e que não refletem, nos seus valores, o real comprimento das vertentes.</w:t>
            </w:r>
          </w:p>
        </w:tc>
        <w:tc>
          <w:tcPr>
            <w:tcW w:w="5670" w:type="dxa"/>
            <w:vAlign w:val="center"/>
          </w:tcPr>
          <w:p w:rsidR="005A2821" w:rsidRPr="008B5227" w:rsidRDefault="005A2821"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Deve ser aplicada uma função condicional de modo a fazer corresponder o número máximo de células acumulado ao comprimento máximo da encosta verificado no concelho com base no Modelo Numérico de Elevação. (GM CCDR LVT</w:t>
            </w: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8B5227" w:rsidRDefault="005A2821" w:rsidP="00671A70">
            <w:pPr>
              <w:pStyle w:val="PargrafodaLista"/>
              <w:numPr>
                <w:ilvl w:val="0"/>
                <w:numId w:val="19"/>
              </w:num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Componente θ (ângulo associado à inclinação do desnível).</w:t>
            </w:r>
          </w:p>
        </w:tc>
        <w:tc>
          <w:tcPr>
            <w:tcW w:w="5670" w:type="dxa"/>
            <w:vAlign w:val="center"/>
          </w:tcPr>
          <w:p w:rsidR="005A2821" w:rsidRPr="008B5227" w:rsidRDefault="005A2821"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Sendo utilizado software que calcula os senos com base na medida angular – radianos - o declive é apresentado em radianos. Criam-</w:t>
            </w:r>
            <w:r w:rsidRPr="008B5227">
              <w:rPr>
                <w:rFonts w:asciiTheme="minorHAnsi" w:hAnsiTheme="minorHAnsi"/>
                <w:color w:val="833C0B" w:themeColor="accent2" w:themeShade="80"/>
                <w:sz w:val="20"/>
                <w:szCs w:val="20"/>
              </w:rPr>
              <w:lastRenderedPageBreak/>
              <w:t>se duas cartas de declives, uma em percentagem para cálculo do x poente “m” e outra em graus para ser convertido num mapa de inclinações em radianos (θ).</w:t>
            </w: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8B5227" w:rsidRDefault="005A2821" w:rsidP="00671A70">
            <w:pPr>
              <w:pStyle w:val="PargrafodaLista"/>
              <w:numPr>
                <w:ilvl w:val="0"/>
                <w:numId w:val="19"/>
              </w:num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Expoente </w:t>
            </w:r>
            <w:r w:rsidRPr="008B5227">
              <w:rPr>
                <w:rFonts w:asciiTheme="minorHAnsi" w:hAnsiTheme="minorHAnsi"/>
                <w:i/>
                <w:color w:val="833C0B" w:themeColor="accent2" w:themeShade="80"/>
                <w:sz w:val="20"/>
                <w:szCs w:val="20"/>
              </w:rPr>
              <w:t>m</w:t>
            </w:r>
            <w:r w:rsidRPr="008B5227">
              <w:rPr>
                <w:rFonts w:asciiTheme="minorHAnsi" w:hAnsiTheme="minorHAnsi"/>
                <w:color w:val="833C0B" w:themeColor="accent2" w:themeShade="80"/>
                <w:sz w:val="20"/>
                <w:szCs w:val="20"/>
              </w:rPr>
              <w:t xml:space="preserve"> - A tabela com os valores de </w:t>
            </w:r>
            <w:r w:rsidRPr="008B5227">
              <w:rPr>
                <w:rFonts w:asciiTheme="minorHAnsi" w:hAnsiTheme="minorHAnsi"/>
                <w:i/>
                <w:color w:val="833C0B" w:themeColor="accent2" w:themeShade="80"/>
                <w:sz w:val="20"/>
                <w:szCs w:val="20"/>
              </w:rPr>
              <w:t>m</w:t>
            </w:r>
            <w:r w:rsidRPr="008B5227">
              <w:rPr>
                <w:rFonts w:asciiTheme="minorHAnsi" w:hAnsiTheme="minorHAnsi"/>
                <w:color w:val="833C0B" w:themeColor="accent2" w:themeShade="80"/>
                <w:sz w:val="20"/>
                <w:szCs w:val="20"/>
              </w:rPr>
              <w:t xml:space="preserve"> não apresenta os intervalos bem definidos.</w:t>
            </w:r>
          </w:p>
        </w:tc>
        <w:tc>
          <w:tcPr>
            <w:tcW w:w="5670" w:type="dxa"/>
            <w:vAlign w:val="center"/>
          </w:tcPr>
          <w:p w:rsidR="005A2821" w:rsidRPr="008B5227" w:rsidRDefault="005A2821"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Apresenta os intervalos corrigidos (GM CCDR LVT).</w:t>
            </w: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8B5227" w:rsidRDefault="00671A70"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 </w:t>
            </w:r>
            <w:r w:rsidR="005A2821" w:rsidRPr="008B5227">
              <w:rPr>
                <w:rFonts w:asciiTheme="minorHAnsi" w:hAnsiTheme="minorHAnsi"/>
                <w:color w:val="833C0B" w:themeColor="accent2" w:themeShade="80"/>
                <w:sz w:val="20"/>
                <w:szCs w:val="20"/>
              </w:rPr>
              <w:t>Não é explicado como se encontra o valor da área de drenagem (</w:t>
            </w:r>
            <w:proofErr w:type="spellStart"/>
            <w:r w:rsidR="005A2821" w:rsidRPr="008B5227">
              <w:rPr>
                <w:rFonts w:asciiTheme="minorHAnsi" w:hAnsiTheme="minorHAnsi"/>
                <w:color w:val="833C0B" w:themeColor="accent2" w:themeShade="80"/>
                <w:sz w:val="20"/>
                <w:szCs w:val="20"/>
              </w:rPr>
              <w:t>Ab</w:t>
            </w:r>
            <w:proofErr w:type="spellEnd"/>
            <w:r w:rsidR="005A2821" w:rsidRPr="008B5227">
              <w:rPr>
                <w:rFonts w:asciiTheme="minorHAnsi" w:hAnsiTheme="minorHAnsi"/>
                <w:color w:val="833C0B" w:themeColor="accent2" w:themeShade="80"/>
                <w:sz w:val="20"/>
                <w:szCs w:val="20"/>
              </w:rPr>
              <w:t>), utilizado no cálculo da Razão de Cedência de Sedimentos (SDR).</w:t>
            </w:r>
          </w:p>
        </w:tc>
        <w:tc>
          <w:tcPr>
            <w:tcW w:w="5670" w:type="dxa"/>
            <w:vAlign w:val="center"/>
          </w:tcPr>
          <w:p w:rsidR="005A2821" w:rsidRPr="008B5227" w:rsidRDefault="005A2821"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O </w:t>
            </w:r>
            <w:proofErr w:type="spellStart"/>
            <w:r w:rsidRPr="008B5227">
              <w:rPr>
                <w:rFonts w:asciiTheme="minorHAnsi" w:hAnsiTheme="minorHAnsi"/>
                <w:color w:val="833C0B" w:themeColor="accent2" w:themeShade="80"/>
                <w:sz w:val="20"/>
                <w:szCs w:val="20"/>
              </w:rPr>
              <w:t>Ab</w:t>
            </w:r>
            <w:proofErr w:type="spellEnd"/>
            <w:r w:rsidRPr="008B5227">
              <w:rPr>
                <w:rFonts w:asciiTheme="minorHAnsi" w:hAnsiTheme="minorHAnsi"/>
                <w:color w:val="833C0B" w:themeColor="accent2" w:themeShade="80"/>
                <w:sz w:val="20"/>
                <w:szCs w:val="20"/>
              </w:rPr>
              <w:t xml:space="preserve"> é calculado a partir do Mapa do Sentido dos Fluxos e corresponde ao valor da área de drenagem, em Km2. A área de drenagem corresponde à bacia do pixel: o seu valor, para cada pixel, é determinado pelo produto entre: » o número de pixéis / células acumulado, desde o setor mais a montante que drenam para o pixel. (GM CCDR LVT)</w:t>
            </w: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8B5227" w:rsidRDefault="005A2821"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 Definição dos valores de </w:t>
            </w:r>
            <w:proofErr w:type="spellStart"/>
            <w:r w:rsidRPr="008B5227">
              <w:rPr>
                <w:rFonts w:asciiTheme="minorHAnsi" w:hAnsiTheme="minorHAnsi"/>
                <w:color w:val="833C0B" w:themeColor="accent2" w:themeShade="80"/>
                <w:sz w:val="20"/>
                <w:szCs w:val="20"/>
              </w:rPr>
              <w:t>Pse</w:t>
            </w:r>
            <w:proofErr w:type="spellEnd"/>
            <w:r w:rsidRPr="008B5227">
              <w:rPr>
                <w:rFonts w:asciiTheme="minorHAnsi" w:hAnsiTheme="minorHAnsi"/>
                <w:color w:val="833C0B" w:themeColor="accent2" w:themeShade="80"/>
                <w:sz w:val="20"/>
                <w:szCs w:val="20"/>
              </w:rPr>
              <w:t xml:space="preserve"> a integrar na REN.</w:t>
            </w:r>
          </w:p>
        </w:tc>
        <w:tc>
          <w:tcPr>
            <w:tcW w:w="5670" w:type="dxa"/>
            <w:vAlign w:val="center"/>
          </w:tcPr>
          <w:p w:rsidR="005A2821" w:rsidRPr="008B5227" w:rsidRDefault="005A2821"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"linha</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corte"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foi</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definida</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com</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base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em</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pesquisa</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bibliográfica</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análise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comparada</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delimitações</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efetuadas</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com</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diferentes</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"linhas</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corte",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tendo</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como</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referência</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conhecimento</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empírico</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cientifico</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existente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sobre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as</w:t>
            </w:r>
            <w:r w:rsidR="008F1DEB" w:rsidRPr="008B5227">
              <w:rPr>
                <w:rFonts w:asciiTheme="minorHAnsi" w:hAnsiTheme="minorHAnsi"/>
                <w:color w:val="833C0B" w:themeColor="accent2" w:themeShade="80"/>
                <w:sz w:val="20"/>
                <w:szCs w:val="20"/>
              </w:rPr>
              <w:t xml:space="preserve"> características </w:t>
            </w:r>
            <w:r w:rsidRPr="008B5227">
              <w:rPr>
                <w:rFonts w:asciiTheme="minorHAnsi" w:hAnsiTheme="minorHAnsi"/>
                <w:color w:val="833C0B" w:themeColor="accent2" w:themeShade="80"/>
                <w:sz w:val="20"/>
                <w:szCs w:val="20"/>
              </w:rPr>
              <w:t>dos</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territórios</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que</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estavam</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ser</w:t>
            </w:r>
            <w:r w:rsidR="008F1DEB"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avaliados. (GM CCDR LVT)</w:t>
            </w:r>
          </w:p>
        </w:tc>
      </w:tr>
      <w:tr w:rsidR="005A2821" w:rsidRPr="00F16AB7" w:rsidTr="00B81EE9">
        <w:tc>
          <w:tcPr>
            <w:tcW w:w="3397" w:type="dxa"/>
            <w:vMerge/>
            <w:vAlign w:val="center"/>
          </w:tcPr>
          <w:p w:rsidR="005A2821" w:rsidRPr="00F16AB7" w:rsidRDefault="005A2821" w:rsidP="00F16AB7">
            <w:pPr>
              <w:spacing w:after="60" w:line="240" w:lineRule="auto"/>
              <w:rPr>
                <w:rFonts w:asciiTheme="minorHAnsi" w:hAnsiTheme="minorHAnsi"/>
                <w:sz w:val="20"/>
                <w:szCs w:val="20"/>
              </w:rPr>
            </w:pPr>
          </w:p>
        </w:tc>
        <w:tc>
          <w:tcPr>
            <w:tcW w:w="5529" w:type="dxa"/>
            <w:vAlign w:val="center"/>
          </w:tcPr>
          <w:p w:rsidR="005A2821" w:rsidRPr="008B5227" w:rsidRDefault="005A2821" w:rsidP="00BD1A8A">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 Não são estabelecidos critérios de generalização que garantam a coerência da delimitação das AEREHS.</w:t>
            </w:r>
          </w:p>
        </w:tc>
        <w:tc>
          <w:tcPr>
            <w:tcW w:w="5670" w:type="dxa"/>
            <w:vAlign w:val="center"/>
          </w:tcPr>
          <w:p w:rsidR="005A2821" w:rsidRPr="008B5227" w:rsidRDefault="005A2821"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As manchas resultantes da aplicação da metodologia devem ser aferidas e adoçadas ao terreno não se aceitando delimitações agarradas ao pixel. Neste processo, os vazios localizados no interior de encostas com AEREHS devem ser integrados na REN e, na mesma ordem de ideias, deve ser ponderada a não</w:t>
            </w:r>
            <w:r w:rsidR="00C825B7"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integração de manchas isoladas com dimensão inferiora 1ha, exceto quando, em resultado da sua proximidade, tenham em conjunto uma dimensão superior. (GM CCDR LVT)</w:t>
            </w:r>
          </w:p>
        </w:tc>
      </w:tr>
      <w:tr w:rsidR="008F1DEB" w:rsidRPr="00F16AB7" w:rsidTr="004C6204">
        <w:trPr>
          <w:trHeight w:val="2013"/>
        </w:trPr>
        <w:tc>
          <w:tcPr>
            <w:tcW w:w="3397" w:type="dxa"/>
            <w:vMerge w:val="restart"/>
            <w:vAlign w:val="center"/>
          </w:tcPr>
          <w:p w:rsidR="008F1DEB" w:rsidRDefault="008F1DEB" w:rsidP="00BD1A8A">
            <w:pPr>
              <w:pStyle w:val="PargrafodaLista"/>
              <w:numPr>
                <w:ilvl w:val="0"/>
                <w:numId w:val="20"/>
              </w:numPr>
              <w:spacing w:after="60" w:line="240" w:lineRule="auto"/>
              <w:ind w:left="313"/>
              <w:rPr>
                <w:rFonts w:asciiTheme="minorHAnsi" w:hAnsiTheme="minorHAnsi"/>
                <w:sz w:val="20"/>
                <w:szCs w:val="20"/>
              </w:rPr>
            </w:pPr>
            <w:r w:rsidRPr="00F16AB7">
              <w:rPr>
                <w:rFonts w:asciiTheme="minorHAnsi" w:hAnsiTheme="minorHAnsi"/>
                <w:sz w:val="20"/>
                <w:szCs w:val="20"/>
              </w:rPr>
              <w:lastRenderedPageBreak/>
              <w:t>Áreas de instabilidade de vertentes (AIV)</w:t>
            </w:r>
          </w:p>
          <w:p w:rsidR="000518ED" w:rsidRDefault="000518ED" w:rsidP="00D6708D">
            <w:pPr>
              <w:pStyle w:val="PargrafodaLista"/>
              <w:spacing w:after="60" w:line="240" w:lineRule="auto"/>
              <w:ind w:left="313"/>
              <w:rPr>
                <w:rFonts w:asciiTheme="minorHAnsi" w:hAnsiTheme="minorHAnsi"/>
                <w:sz w:val="20"/>
                <w:szCs w:val="20"/>
              </w:rPr>
            </w:pPr>
          </w:p>
          <w:p w:rsidR="000518ED" w:rsidRPr="00F16AB7" w:rsidRDefault="000518ED" w:rsidP="00D6708D">
            <w:pPr>
              <w:pStyle w:val="PargrafodaLista"/>
              <w:spacing w:after="60" w:line="240" w:lineRule="auto"/>
              <w:ind w:left="313"/>
              <w:rPr>
                <w:rFonts w:asciiTheme="minorHAnsi" w:hAnsiTheme="minorHAnsi"/>
                <w:sz w:val="20"/>
                <w:szCs w:val="20"/>
              </w:rPr>
            </w:pPr>
          </w:p>
        </w:tc>
        <w:tc>
          <w:tcPr>
            <w:tcW w:w="5529" w:type="dxa"/>
            <w:vAlign w:val="center"/>
          </w:tcPr>
          <w:p w:rsidR="008F1DEB" w:rsidRPr="00977C36" w:rsidRDefault="008F1DEB" w:rsidP="00BD1A8A">
            <w:pPr>
              <w:pStyle w:val="PargrafodaLista"/>
              <w:numPr>
                <w:ilvl w:val="1"/>
                <w:numId w:val="20"/>
              </w:numPr>
              <w:spacing w:after="60" w:line="240" w:lineRule="auto"/>
              <w:ind w:left="318"/>
              <w:rPr>
                <w:rFonts w:asciiTheme="minorHAnsi" w:hAnsiTheme="minorHAnsi"/>
                <w:color w:val="385623" w:themeColor="accent6" w:themeShade="80"/>
                <w:sz w:val="20"/>
                <w:szCs w:val="20"/>
              </w:rPr>
            </w:pPr>
            <w:r w:rsidRPr="00F16AB7">
              <w:rPr>
                <w:rFonts w:asciiTheme="minorHAnsi" w:hAnsiTheme="minorHAnsi"/>
                <w:color w:val="C45911" w:themeColor="accent2" w:themeShade="BF"/>
                <w:sz w:val="20"/>
                <w:szCs w:val="20"/>
              </w:rPr>
              <w:t xml:space="preserve"> </w:t>
            </w:r>
            <w:r w:rsidRPr="008B5227">
              <w:rPr>
                <w:rFonts w:asciiTheme="minorHAnsi" w:hAnsiTheme="minorHAnsi"/>
                <w:color w:val="833C0B" w:themeColor="accent2" w:themeShade="80"/>
                <w:sz w:val="20"/>
                <w:szCs w:val="20"/>
              </w:rPr>
              <w:t>Não é definida metodologia alternativa para avaliação das AIV, tal como para as zonas de risco de cheia, nos municípios onde (ainda) não existem ocorrências</w:t>
            </w:r>
            <w:r w:rsidRPr="00F16AB7">
              <w:rPr>
                <w:rFonts w:asciiTheme="minorHAnsi" w:hAnsiTheme="minorHAnsi"/>
                <w:color w:val="BF8F00" w:themeColor="accent4" w:themeShade="BF"/>
                <w:sz w:val="20"/>
                <w:szCs w:val="20"/>
              </w:rPr>
              <w:t>, o que no caso das vertentes inviabiliza ou dificulta muito a aplicação dos modelos regressivos propostos</w:t>
            </w:r>
            <w:r w:rsidRPr="008B5227">
              <w:rPr>
                <w:rFonts w:asciiTheme="minorHAnsi" w:hAnsiTheme="minorHAnsi"/>
                <w:color w:val="833C0B" w:themeColor="accent2" w:themeShade="80"/>
                <w:sz w:val="20"/>
                <w:szCs w:val="20"/>
              </w:rPr>
              <w:t>, não obstante, no interior do município existam áreas com vulnerabilidade geológica/geomorfológica que constituem risco para pessoas e bens.</w:t>
            </w:r>
          </w:p>
        </w:tc>
        <w:tc>
          <w:tcPr>
            <w:tcW w:w="5670" w:type="dxa"/>
            <w:vAlign w:val="center"/>
          </w:tcPr>
          <w:p w:rsidR="008F1DEB" w:rsidRPr="008B5227" w:rsidRDefault="008F1DEB" w:rsidP="008F1DEB">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Na região de Lisboa e Vale do Tejo, para estes municípios é indicada a aplicação da metodologia apresentada pelo IGOT no Quadro Regional da REN da AML e do OVT, que considera a correlação entre o declive e a geologia. (GM CCDR LVT)</w:t>
            </w:r>
          </w:p>
        </w:tc>
      </w:tr>
      <w:tr w:rsidR="00441C23" w:rsidRPr="00F16AB7" w:rsidTr="004C6204">
        <w:trPr>
          <w:trHeight w:val="2013"/>
        </w:trPr>
        <w:tc>
          <w:tcPr>
            <w:tcW w:w="3397" w:type="dxa"/>
            <w:vMerge/>
            <w:vAlign w:val="center"/>
          </w:tcPr>
          <w:p w:rsidR="00441C23" w:rsidRPr="00F16AB7" w:rsidRDefault="00441C23" w:rsidP="00BD1A8A">
            <w:pPr>
              <w:pStyle w:val="PargrafodaLista"/>
              <w:numPr>
                <w:ilvl w:val="0"/>
                <w:numId w:val="20"/>
              </w:numPr>
              <w:spacing w:after="60" w:line="240" w:lineRule="auto"/>
              <w:ind w:left="313"/>
              <w:rPr>
                <w:rFonts w:asciiTheme="minorHAnsi" w:hAnsiTheme="minorHAnsi"/>
                <w:sz w:val="20"/>
                <w:szCs w:val="20"/>
              </w:rPr>
            </w:pPr>
          </w:p>
        </w:tc>
        <w:tc>
          <w:tcPr>
            <w:tcW w:w="5529" w:type="dxa"/>
            <w:vAlign w:val="center"/>
          </w:tcPr>
          <w:p w:rsidR="00441C23" w:rsidRPr="00441C23" w:rsidRDefault="00441C23" w:rsidP="00441C23">
            <w:pPr>
              <w:pStyle w:val="PargrafodaLista"/>
              <w:numPr>
                <w:ilvl w:val="1"/>
                <w:numId w:val="20"/>
              </w:numPr>
              <w:spacing w:after="60" w:line="240" w:lineRule="auto"/>
              <w:ind w:left="318"/>
              <w:rPr>
                <w:rFonts w:asciiTheme="minorHAnsi" w:hAnsiTheme="minorHAnsi"/>
                <w:color w:val="C45911" w:themeColor="accent2" w:themeShade="BF"/>
                <w:sz w:val="20"/>
                <w:szCs w:val="20"/>
              </w:rPr>
            </w:pPr>
            <w:r>
              <w:rPr>
                <w:rFonts w:asciiTheme="minorHAnsi" w:hAnsiTheme="minorHAnsi"/>
                <w:color w:val="C45911" w:themeColor="accent2" w:themeShade="BF"/>
                <w:sz w:val="20"/>
                <w:szCs w:val="20"/>
              </w:rPr>
              <w:t xml:space="preserve"> </w:t>
            </w:r>
            <w:r w:rsidRPr="00441C23">
              <w:rPr>
                <w:color w:val="2E74B5" w:themeColor="accent1" w:themeShade="BF"/>
                <w:sz w:val="20"/>
                <w:szCs w:val="20"/>
              </w:rPr>
              <w:t>Quando não existem registos de fenómenos de instabilidade de vertentes no território concelhio não se poderá aplicar o Método do Valor Informativo</w:t>
            </w:r>
          </w:p>
        </w:tc>
        <w:tc>
          <w:tcPr>
            <w:tcW w:w="5670" w:type="dxa"/>
            <w:vAlign w:val="center"/>
          </w:tcPr>
          <w:p w:rsidR="003B3B6C" w:rsidRPr="003B3B6C" w:rsidRDefault="003B3B6C" w:rsidP="003B3B6C">
            <w:pPr>
              <w:spacing w:after="60" w:line="240" w:lineRule="auto"/>
              <w:rPr>
                <w:color w:val="2E74B5" w:themeColor="accent1" w:themeShade="BF"/>
                <w:sz w:val="20"/>
                <w:szCs w:val="20"/>
              </w:rPr>
            </w:pPr>
            <w:r w:rsidRPr="003B3B6C">
              <w:rPr>
                <w:color w:val="2E74B5" w:themeColor="accent1" w:themeShade="BF"/>
                <w:sz w:val="20"/>
                <w:szCs w:val="20"/>
              </w:rPr>
              <w:t xml:space="preserve">Neste enquadramento, para delimitação desta tipologia, deve aplicar-se uma metodologia que possibilite a identificação das áreas com suscetibilidade geológica, inventariando áreas de instabilidade de vertentes através da avaliação conjunta de dois fatores condicionantes: a litologia, que reflete as propriedades da resistência mecânica dos terrenos, e o declive, que controla diretamente as tensões tangenciais que se verificam nas vertentes. </w:t>
            </w:r>
          </w:p>
          <w:p w:rsidR="003B3B6C" w:rsidRPr="003B3B6C" w:rsidRDefault="003B3B6C" w:rsidP="003B3B6C">
            <w:pPr>
              <w:spacing w:after="60" w:line="240" w:lineRule="auto"/>
              <w:rPr>
                <w:color w:val="2E74B5" w:themeColor="accent1" w:themeShade="BF"/>
                <w:sz w:val="20"/>
                <w:szCs w:val="20"/>
              </w:rPr>
            </w:pPr>
            <w:r w:rsidRPr="003B3B6C">
              <w:rPr>
                <w:color w:val="2E74B5" w:themeColor="accent1" w:themeShade="BF"/>
                <w:sz w:val="20"/>
                <w:szCs w:val="20"/>
              </w:rPr>
              <w:t xml:space="preserve">Sugere-se a utilização da matriz que identifica as unidades litológicas e os limiares críticos de declives acima dos quais é expectável a ocorrência de fenómenos de instabilidade, elaborada por João Luis Zêzere (PERIGOS NATURAIS E TECNOLÓGICOS NO TERRITÓRIO DE PORTUGAL CONTINENTAL (J.L. Zêzere; A.R. Pereira; P. Morgado), </w:t>
            </w:r>
            <w:proofErr w:type="spellStart"/>
            <w:r w:rsidRPr="003B3B6C">
              <w:rPr>
                <w:color w:val="2E74B5" w:themeColor="accent1" w:themeShade="BF"/>
                <w:sz w:val="20"/>
                <w:szCs w:val="20"/>
              </w:rPr>
              <w:t>Inforgeo</w:t>
            </w:r>
            <w:proofErr w:type="spellEnd"/>
            <w:r w:rsidRPr="003B3B6C">
              <w:rPr>
                <w:color w:val="2E74B5" w:themeColor="accent1" w:themeShade="BF"/>
                <w:sz w:val="20"/>
                <w:szCs w:val="20"/>
              </w:rPr>
              <w:t>, 2007/2008, 37-49), que informa que estes limiares são suportados por bibliografia de referência especializada.</w:t>
            </w:r>
          </w:p>
          <w:p w:rsidR="003B3B6C" w:rsidRPr="003B3B6C" w:rsidRDefault="003B3B6C" w:rsidP="003B3B6C">
            <w:pPr>
              <w:spacing w:after="60" w:line="240" w:lineRule="auto"/>
              <w:rPr>
                <w:color w:val="2E74B5" w:themeColor="accent1" w:themeShade="BF"/>
                <w:sz w:val="20"/>
                <w:szCs w:val="20"/>
              </w:rPr>
            </w:pPr>
            <w:r w:rsidRPr="003B3B6C">
              <w:rPr>
                <w:color w:val="2E74B5" w:themeColor="accent1" w:themeShade="BF"/>
                <w:sz w:val="20"/>
                <w:szCs w:val="20"/>
              </w:rPr>
              <w:t xml:space="preserve">Os limiares críticos de declive considerados para a definição das áreas mais suscetíveis à ocorrência de movimentos de vertente, apresentados na matriz, variam em função do tipo de unidade litológica e foram estabelecidos a partir do conhecimento empírico </w:t>
            </w:r>
            <w:r w:rsidRPr="003B3B6C">
              <w:rPr>
                <w:color w:val="2E74B5" w:themeColor="accent1" w:themeShade="BF"/>
                <w:sz w:val="20"/>
                <w:szCs w:val="20"/>
              </w:rPr>
              <w:lastRenderedPageBreak/>
              <w:t>da dinâmica geomorfológica em Portugal Continental.</w:t>
            </w:r>
          </w:p>
          <w:p w:rsidR="003B3B6C" w:rsidRPr="003B3B6C" w:rsidRDefault="003B3B6C" w:rsidP="003B3B6C">
            <w:pPr>
              <w:spacing w:after="60" w:line="240" w:lineRule="auto"/>
              <w:rPr>
                <w:color w:val="2E74B5" w:themeColor="accent1" w:themeShade="BF"/>
                <w:sz w:val="20"/>
                <w:szCs w:val="20"/>
              </w:rPr>
            </w:pPr>
            <w:r w:rsidRPr="003B3B6C">
              <w:rPr>
                <w:color w:val="2E74B5" w:themeColor="accent1" w:themeShade="BF"/>
                <w:sz w:val="20"/>
                <w:szCs w:val="20"/>
              </w:rPr>
              <w:t>Deverão, portanto, ser integradas em REN as áreas correspondentes às unidades litológicas que apresentem valor de declive igual ou superior ao definido.</w:t>
            </w:r>
          </w:p>
          <w:p w:rsidR="003B3B6C" w:rsidRPr="003B3B6C" w:rsidRDefault="003B3B6C" w:rsidP="003B3B6C">
            <w:pPr>
              <w:spacing w:after="60" w:line="240" w:lineRule="auto"/>
              <w:rPr>
                <w:color w:val="2E74B5" w:themeColor="accent1" w:themeShade="BF"/>
                <w:sz w:val="20"/>
                <w:szCs w:val="20"/>
              </w:rPr>
            </w:pPr>
            <w:r w:rsidRPr="003B3B6C">
              <w:rPr>
                <w:color w:val="2E74B5" w:themeColor="accent1" w:themeShade="BF"/>
                <w:sz w:val="20"/>
                <w:szCs w:val="20"/>
              </w:rPr>
              <w:t>As manchas resultantes da aplicação desta metodologia deverão ser ajustadas à topografia do terreno e sujeitas a processos de generalização de modo a criar homogeneidade na demarcação desta tipologia a incluir na proposta de delimitação final.</w:t>
            </w:r>
          </w:p>
          <w:p w:rsidR="003B3B6C" w:rsidRPr="003B3B6C" w:rsidRDefault="003B3B6C" w:rsidP="003B3B6C">
            <w:pPr>
              <w:spacing w:after="60" w:line="240" w:lineRule="auto"/>
              <w:rPr>
                <w:color w:val="2E74B5" w:themeColor="accent1" w:themeShade="BF"/>
                <w:sz w:val="20"/>
                <w:szCs w:val="20"/>
              </w:rPr>
            </w:pPr>
            <w:r w:rsidRPr="003B3B6C">
              <w:rPr>
                <w:color w:val="2E74B5" w:themeColor="accent1" w:themeShade="BF"/>
                <w:sz w:val="20"/>
                <w:szCs w:val="20"/>
              </w:rPr>
              <w:t>Para efeitos de integração na REN, devem, ainda, considerar os declives iguais ou superiores a 45° retirados da carta de declives construída para a área do concelho a partir da cartografia de base em uso nos estudos da Revisão do PDM, incluindo, igualmente, a área correspondente a escarpas naturais, demarcando uma faixa de proteção medida a partir do rebordo superior e da base, sendo, no mínimo, igual à altura do desnível entre a crista e o sopé da escarpa, mas nunca inferior a 10 metros.</w:t>
            </w:r>
          </w:p>
          <w:p w:rsidR="00441C23" w:rsidRPr="00441C23" w:rsidRDefault="003B3B6C" w:rsidP="003B3B6C">
            <w:pPr>
              <w:spacing w:after="60" w:line="240" w:lineRule="auto"/>
              <w:rPr>
                <w:color w:val="2E74B5" w:themeColor="accent1" w:themeShade="BF"/>
                <w:sz w:val="20"/>
                <w:szCs w:val="20"/>
              </w:rPr>
            </w:pPr>
            <w:r w:rsidRPr="003B3B6C">
              <w:rPr>
                <w:color w:val="2E74B5" w:themeColor="accent1" w:themeShade="BF"/>
                <w:sz w:val="20"/>
                <w:szCs w:val="20"/>
              </w:rPr>
              <w:t>Considera-se imprescindível a apresentação dos resultados de cada parâmetro e respetiva fundamentação, a fim de clarificar o resultado da aplicação da metodologia de delimitação desta tipologia.</w:t>
            </w:r>
          </w:p>
        </w:tc>
      </w:tr>
      <w:tr w:rsidR="00873764" w:rsidRPr="00F16AB7" w:rsidTr="00B81EE9">
        <w:tc>
          <w:tcPr>
            <w:tcW w:w="3397" w:type="dxa"/>
            <w:vMerge/>
            <w:tcBorders>
              <w:bottom w:val="single" w:sz="4" w:space="0" w:color="auto"/>
            </w:tcBorders>
            <w:vAlign w:val="center"/>
          </w:tcPr>
          <w:p w:rsidR="00873764" w:rsidRPr="00F16AB7" w:rsidRDefault="00873764" w:rsidP="00F16AB7">
            <w:pPr>
              <w:spacing w:after="60" w:line="240" w:lineRule="auto"/>
              <w:rPr>
                <w:rFonts w:asciiTheme="minorHAnsi" w:hAnsiTheme="minorHAnsi"/>
                <w:sz w:val="20"/>
                <w:szCs w:val="20"/>
              </w:rPr>
            </w:pPr>
          </w:p>
        </w:tc>
        <w:tc>
          <w:tcPr>
            <w:tcW w:w="5529" w:type="dxa"/>
            <w:tcBorders>
              <w:bottom w:val="single" w:sz="4" w:space="0" w:color="auto"/>
            </w:tcBorders>
            <w:vAlign w:val="center"/>
          </w:tcPr>
          <w:p w:rsidR="00873764" w:rsidRPr="008B5227" w:rsidRDefault="00936EF2" w:rsidP="003B3B6C">
            <w:pPr>
              <w:pStyle w:val="PargrafodaLista"/>
              <w:numPr>
                <w:ilvl w:val="1"/>
                <w:numId w:val="20"/>
              </w:numPr>
              <w:spacing w:after="60" w:line="240" w:lineRule="auto"/>
              <w:ind w:left="318"/>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Não</w:t>
            </w:r>
            <w:r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são</w:t>
            </w:r>
            <w:r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estabelecidos</w:t>
            </w:r>
            <w:r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critérios</w:t>
            </w:r>
            <w:r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de</w:t>
            </w:r>
            <w:r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generalização</w:t>
            </w:r>
            <w:r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que</w:t>
            </w:r>
            <w:r w:rsidRPr="008B5227">
              <w:rPr>
                <w:rFonts w:asciiTheme="minorHAnsi" w:hAnsiTheme="minorHAnsi"/>
                <w:color w:val="833C0B" w:themeColor="accent2" w:themeShade="80"/>
                <w:sz w:val="20"/>
                <w:szCs w:val="20"/>
              </w:rPr>
              <w:t xml:space="preserve"> </w:t>
            </w:r>
            <w:r w:rsidR="00F71414" w:rsidRPr="008B5227">
              <w:rPr>
                <w:rFonts w:asciiTheme="minorHAnsi" w:hAnsiTheme="minorHAnsi"/>
                <w:color w:val="833C0B" w:themeColor="accent2" w:themeShade="80"/>
                <w:sz w:val="20"/>
                <w:szCs w:val="20"/>
              </w:rPr>
              <w:t>garantam a coerência da delimitação das AIV.</w:t>
            </w:r>
          </w:p>
        </w:tc>
        <w:tc>
          <w:tcPr>
            <w:tcW w:w="5670" w:type="dxa"/>
            <w:tcBorders>
              <w:bottom w:val="single" w:sz="4" w:space="0" w:color="auto"/>
            </w:tcBorders>
            <w:vAlign w:val="center"/>
          </w:tcPr>
          <w:p w:rsidR="00873764" w:rsidRPr="008B5227" w:rsidRDefault="00F71414"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color w:val="833C0B" w:themeColor="accent2" w:themeShade="80"/>
                <w:sz w:val="20"/>
                <w:szCs w:val="20"/>
              </w:rPr>
              <w:t>As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manchas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resultantes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aplicação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metodologia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devem</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ser</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aferidas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adoçadas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terreno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não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aceitando</w:t>
            </w:r>
            <w:r w:rsidR="00936EF2" w:rsidRPr="008B5227">
              <w:rPr>
                <w:rFonts w:asciiTheme="minorHAnsi" w:hAnsiTheme="minorHAnsi"/>
                <w:color w:val="833C0B" w:themeColor="accent2" w:themeShade="80"/>
                <w:sz w:val="20"/>
                <w:szCs w:val="20"/>
              </w:rPr>
              <w:t xml:space="preserve"> delimitações </w:t>
            </w:r>
            <w:r w:rsidRPr="008B5227">
              <w:rPr>
                <w:rFonts w:asciiTheme="minorHAnsi" w:hAnsiTheme="minorHAnsi"/>
                <w:color w:val="833C0B" w:themeColor="accent2" w:themeShade="80"/>
                <w:sz w:val="20"/>
                <w:szCs w:val="20"/>
              </w:rPr>
              <w:t>agarradas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pixel.</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Neste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processo,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vazios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localizados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interior</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encostas/vertentes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instáveis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devem</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ser</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integrados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REN</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mesma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ordem</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ideias,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deve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ser</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ponderada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não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integração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manchas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isoladas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com</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dimensão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inferiora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0,5ha,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exceto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quando,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em</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resultado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sua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proximidade,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tenham</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em</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lastRenderedPageBreak/>
              <w:t>conjunto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uma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dimensão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superior.</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Esta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avaliação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casuística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assume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especial</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relevância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em</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territórios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ocupados.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Não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são</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integrados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na</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REN</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os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taludes</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de</w:t>
            </w:r>
            <w:r w:rsidR="00936EF2" w:rsidRPr="008B5227">
              <w:rPr>
                <w:rFonts w:asciiTheme="minorHAnsi" w:hAnsiTheme="minorHAnsi"/>
                <w:color w:val="833C0B" w:themeColor="accent2" w:themeShade="80"/>
                <w:sz w:val="20"/>
                <w:szCs w:val="20"/>
              </w:rPr>
              <w:t xml:space="preserve"> </w:t>
            </w:r>
            <w:r w:rsidRPr="008B5227">
              <w:rPr>
                <w:rFonts w:asciiTheme="minorHAnsi" w:hAnsiTheme="minorHAnsi"/>
                <w:color w:val="833C0B" w:themeColor="accent2" w:themeShade="80"/>
                <w:sz w:val="20"/>
                <w:szCs w:val="20"/>
              </w:rPr>
              <w:t>vias e as arribas (GM CCDR LVT)</w:t>
            </w:r>
          </w:p>
        </w:tc>
      </w:tr>
      <w:tr w:rsidR="00F71414" w:rsidRPr="00F16AB7" w:rsidTr="00B81EE9">
        <w:tc>
          <w:tcPr>
            <w:tcW w:w="14596" w:type="dxa"/>
            <w:gridSpan w:val="3"/>
            <w:tcBorders>
              <w:top w:val="single" w:sz="4" w:space="0" w:color="auto"/>
              <w:left w:val="nil"/>
              <w:bottom w:val="nil"/>
              <w:right w:val="nil"/>
            </w:tcBorders>
            <w:vAlign w:val="center"/>
          </w:tcPr>
          <w:p w:rsidR="00F71414" w:rsidRPr="008B5227" w:rsidRDefault="00F71414" w:rsidP="00F16AB7">
            <w:pPr>
              <w:spacing w:after="60" w:line="240" w:lineRule="auto"/>
              <w:rPr>
                <w:rFonts w:asciiTheme="minorHAnsi" w:hAnsiTheme="minorHAnsi"/>
                <w:color w:val="833C0B" w:themeColor="accent2" w:themeShade="80"/>
                <w:sz w:val="20"/>
                <w:szCs w:val="20"/>
              </w:rPr>
            </w:pPr>
            <w:r w:rsidRPr="008B5227">
              <w:rPr>
                <w:rFonts w:asciiTheme="minorHAnsi" w:hAnsiTheme="minorHAnsi"/>
                <w:b/>
                <w:color w:val="833C0B" w:themeColor="accent2" w:themeShade="80"/>
                <w:sz w:val="20"/>
                <w:szCs w:val="20"/>
              </w:rPr>
              <w:lastRenderedPageBreak/>
              <w:t>NOTA CCDR LVT:</w:t>
            </w:r>
            <w:r w:rsidRPr="008B5227">
              <w:rPr>
                <w:rFonts w:asciiTheme="minorHAnsi" w:hAnsiTheme="minorHAnsi"/>
                <w:color w:val="833C0B" w:themeColor="accent2" w:themeShade="80"/>
                <w:sz w:val="20"/>
                <w:szCs w:val="20"/>
              </w:rPr>
              <w:t xml:space="preserve"> A generalidade das soluções adotadas para as dificuldades identificadas, foram encontradas através de pesquisa bibliográfica e da avaliação das propostas que as Câmaras Municipais iam apresentando, considerando, ainda, as dúvidas e os esclarecimentos partilhados em reuniões de trabalho.</w:t>
            </w:r>
          </w:p>
        </w:tc>
      </w:tr>
      <w:tr w:rsidR="00F71414" w:rsidRPr="00F16AB7" w:rsidTr="00B81EE9">
        <w:tc>
          <w:tcPr>
            <w:tcW w:w="14596" w:type="dxa"/>
            <w:gridSpan w:val="3"/>
            <w:tcBorders>
              <w:top w:val="nil"/>
              <w:left w:val="nil"/>
              <w:bottom w:val="nil"/>
              <w:right w:val="nil"/>
            </w:tcBorders>
            <w:vAlign w:val="center"/>
          </w:tcPr>
          <w:p w:rsidR="00D365BB" w:rsidRPr="00F16AB7" w:rsidRDefault="00D365BB" w:rsidP="00F16AB7">
            <w:pPr>
              <w:spacing w:after="60" w:line="240" w:lineRule="auto"/>
              <w:rPr>
                <w:rFonts w:asciiTheme="minorHAnsi" w:hAnsiTheme="minorHAnsi"/>
                <w:b/>
                <w:sz w:val="20"/>
                <w:szCs w:val="20"/>
              </w:rPr>
            </w:pPr>
            <w:r w:rsidRPr="00F16AB7">
              <w:rPr>
                <w:rFonts w:asciiTheme="minorHAnsi" w:hAnsiTheme="minorHAnsi"/>
                <w:b/>
                <w:sz w:val="20"/>
                <w:szCs w:val="20"/>
              </w:rPr>
              <w:t>Legenda:</w:t>
            </w:r>
          </w:p>
          <w:p w:rsidR="00F71414" w:rsidRPr="00F16AB7" w:rsidRDefault="00F71414" w:rsidP="00F16AB7">
            <w:pPr>
              <w:spacing w:after="60" w:line="240" w:lineRule="auto"/>
              <w:rPr>
                <w:rFonts w:asciiTheme="minorHAnsi" w:hAnsiTheme="minorHAnsi"/>
                <w:sz w:val="20"/>
                <w:szCs w:val="20"/>
              </w:rPr>
            </w:pPr>
            <w:r w:rsidRPr="00F16AB7">
              <w:rPr>
                <w:rFonts w:asciiTheme="minorHAnsi" w:hAnsiTheme="minorHAnsi"/>
                <w:sz w:val="20"/>
                <w:szCs w:val="20"/>
              </w:rPr>
              <w:t>GM CCDR LVT – Guia Metodológico da CCDR LVT</w:t>
            </w:r>
          </w:p>
        </w:tc>
      </w:tr>
    </w:tbl>
    <w:p w:rsidR="00E5231D" w:rsidRDefault="00E5231D" w:rsidP="006672D9"/>
    <w:p w:rsidR="0036120D" w:rsidRDefault="0036120D" w:rsidP="006672D9"/>
    <w:p w:rsidR="00E5231D" w:rsidRDefault="00E5231D" w:rsidP="006672D9"/>
    <w:p w:rsidR="00E5231D" w:rsidRDefault="00E5231D" w:rsidP="006672D9">
      <w:pPr>
        <w:sectPr w:rsidR="00E5231D" w:rsidSect="00E5231D">
          <w:type w:val="oddPage"/>
          <w:pgSz w:w="16838" w:h="11906" w:orient="landscape"/>
          <w:pgMar w:top="1701" w:right="1417" w:bottom="1701" w:left="1417" w:header="708" w:footer="708" w:gutter="0"/>
          <w:cols w:space="708"/>
          <w:docGrid w:linePitch="360"/>
        </w:sectPr>
      </w:pPr>
    </w:p>
    <w:p w:rsidR="00C0319A" w:rsidRDefault="00C0319A" w:rsidP="00C0319A">
      <w:pPr>
        <w:pStyle w:val="Titulo1"/>
      </w:pPr>
      <w:bookmarkStart w:id="9" w:name="_Toc451286477"/>
      <w:r w:rsidRPr="00C0319A">
        <w:lastRenderedPageBreak/>
        <w:t>Apresenta</w:t>
      </w:r>
      <w:r>
        <w:t>ção de</w:t>
      </w:r>
      <w:r w:rsidRPr="00C0319A">
        <w:t xml:space="preserve"> soluções</w:t>
      </w:r>
      <w:bookmarkEnd w:id="9"/>
    </w:p>
    <w:p w:rsidR="00C0319A" w:rsidRDefault="00FA7D5B" w:rsidP="00C0319A">
      <w:pPr>
        <w:rPr>
          <w:color w:val="BF8F00" w:themeColor="accent4" w:themeShade="BF"/>
        </w:rPr>
      </w:pPr>
      <w:r>
        <w:rPr>
          <w:color w:val="BF8F00" w:themeColor="accent4" w:themeShade="BF"/>
        </w:rPr>
        <w:t>P</w:t>
      </w:r>
      <w:r w:rsidR="00F70947" w:rsidRPr="00F70947">
        <w:rPr>
          <w:color w:val="BF8F00" w:themeColor="accent4" w:themeShade="BF"/>
        </w:rPr>
        <w:t xml:space="preserve">rodução de cartografia altimétrica de detalhe </w:t>
      </w:r>
      <w:r w:rsidR="00365CE8" w:rsidRPr="00F70947">
        <w:rPr>
          <w:color w:val="BF8F00" w:themeColor="accent4" w:themeShade="BF"/>
        </w:rPr>
        <w:t>atualizada</w:t>
      </w:r>
      <w:r w:rsidR="00F70947" w:rsidRPr="00F70947">
        <w:rPr>
          <w:color w:val="BF8F00" w:themeColor="accent4" w:themeShade="BF"/>
        </w:rPr>
        <w:t xml:space="preserve"> e homologada para todo o território</w:t>
      </w:r>
      <w:r w:rsidR="001E0B6B">
        <w:rPr>
          <w:color w:val="BF8F00" w:themeColor="accent4" w:themeShade="BF"/>
        </w:rPr>
        <w:t>, que possibilitaria uma concretização mais eficaz das metodologias de delimitação</w:t>
      </w:r>
      <w:r w:rsidR="00F70947" w:rsidRPr="00F70947">
        <w:rPr>
          <w:color w:val="BF8F00" w:themeColor="accent4" w:themeShade="BF"/>
        </w:rPr>
        <w:t>.</w:t>
      </w:r>
    </w:p>
    <w:p w:rsidR="00365CE8" w:rsidRPr="00365CE8" w:rsidRDefault="001E0B6B" w:rsidP="00365CE8">
      <w:pPr>
        <w:rPr>
          <w:color w:val="BF8F00" w:themeColor="accent4" w:themeShade="BF"/>
        </w:rPr>
      </w:pPr>
      <w:r>
        <w:rPr>
          <w:color w:val="BF8F00" w:themeColor="accent4" w:themeShade="BF"/>
        </w:rPr>
        <w:t>R</w:t>
      </w:r>
      <w:r w:rsidR="00365CE8" w:rsidRPr="00365CE8">
        <w:rPr>
          <w:color w:val="BF8F00" w:themeColor="accent4" w:themeShade="BF"/>
        </w:rPr>
        <w:t>egisto sistemático dos níveis de cheias.</w:t>
      </w:r>
    </w:p>
    <w:p w:rsidR="00365CE8" w:rsidRDefault="00365CE8" w:rsidP="00365CE8">
      <w:pPr>
        <w:rPr>
          <w:color w:val="BF8F00" w:themeColor="accent4" w:themeShade="BF"/>
        </w:rPr>
      </w:pPr>
      <w:r w:rsidRPr="00365CE8">
        <w:rPr>
          <w:color w:val="BF8F00" w:themeColor="accent4" w:themeShade="BF"/>
        </w:rPr>
        <w:t>Considerando as limitações decorrentes da inexistência para a totalidade do território nacional de informação de solos adequada, poderá ser ponderado o recurso ao modelo de cálculo do índice topográfico de Erosão Hídrica Estrutural (EHE), desenvolvido pela Universidade de Évora, que utiliza como fonte primária de informação apenas uma cobertura altimétrica vetorial a partir da qual são desenvolvidos processos de análise espacial na geração de informação derivada necessária à aplicação do modelo.</w:t>
      </w:r>
    </w:p>
    <w:p w:rsidR="006B79CC" w:rsidRDefault="006B79CC" w:rsidP="006B79CC"/>
    <w:p w:rsidR="007B66A1" w:rsidRDefault="007B66A1" w:rsidP="006B79CC">
      <w:pPr>
        <w:rPr>
          <w:b/>
        </w:rPr>
      </w:pPr>
      <w:r w:rsidRPr="007B66A1">
        <w:rPr>
          <w:b/>
        </w:rPr>
        <w:t>Áreas de Elevado Risco de Erosão Hídrica do Solo</w:t>
      </w:r>
    </w:p>
    <w:p w:rsidR="007B66A1" w:rsidRDefault="007B66A1" w:rsidP="006B79CC">
      <w:pPr>
        <w:rPr>
          <w:b/>
        </w:rPr>
      </w:pPr>
    </w:p>
    <w:p w:rsidR="007B66A1" w:rsidRDefault="007B66A1" w:rsidP="006B79CC">
      <w:pPr>
        <w:rPr>
          <w:b/>
        </w:rPr>
      </w:pPr>
    </w:p>
    <w:p w:rsidR="007B66A1" w:rsidRDefault="007B66A1" w:rsidP="006B79CC">
      <w:pPr>
        <w:rPr>
          <w:b/>
        </w:rPr>
      </w:pPr>
    </w:p>
    <w:p w:rsidR="007B66A1" w:rsidRDefault="007B66A1" w:rsidP="006B79CC">
      <w:pPr>
        <w:rPr>
          <w:b/>
        </w:rPr>
      </w:pPr>
      <w:r>
        <w:rPr>
          <w:b/>
        </w:rPr>
        <w:t>Áreas de Instabilidade de Vertentes</w:t>
      </w:r>
    </w:p>
    <w:p w:rsidR="007B66A1" w:rsidRDefault="007B66A1" w:rsidP="006B79CC">
      <w:pPr>
        <w:rPr>
          <w:b/>
        </w:rPr>
      </w:pPr>
    </w:p>
    <w:p w:rsidR="007B66A1" w:rsidRDefault="007B66A1" w:rsidP="006B79CC">
      <w:pPr>
        <w:rPr>
          <w:b/>
        </w:rPr>
      </w:pPr>
    </w:p>
    <w:p w:rsidR="007B66A1" w:rsidRDefault="007B66A1" w:rsidP="006B79CC">
      <w:pPr>
        <w:rPr>
          <w:b/>
        </w:rPr>
      </w:pPr>
    </w:p>
    <w:p w:rsidR="007B66A1" w:rsidRPr="007B66A1" w:rsidRDefault="007B66A1" w:rsidP="006B79CC">
      <w:pPr>
        <w:rPr>
          <w:b/>
        </w:rPr>
      </w:pPr>
    </w:p>
    <w:sectPr w:rsidR="007B66A1" w:rsidRPr="007B66A1" w:rsidSect="00837CFB">
      <w:type w:val="oddPag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DCD" w:rsidRDefault="00912DCD" w:rsidP="00E5231D">
      <w:pPr>
        <w:spacing w:after="0" w:line="240" w:lineRule="auto"/>
      </w:pPr>
      <w:r>
        <w:separator/>
      </w:r>
    </w:p>
  </w:endnote>
  <w:endnote w:type="continuationSeparator" w:id="0">
    <w:p w:rsidR="00912DCD" w:rsidRDefault="00912DCD" w:rsidP="00E52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90" w:rsidRPr="00D6654B" w:rsidRDefault="00A56719" w:rsidP="00D6654B">
    <w:pPr>
      <w:pStyle w:val="Rodap"/>
    </w:pPr>
    <w:r>
      <w:fldChar w:fldCharType="begin"/>
    </w:r>
    <w:r w:rsidR="00A43990">
      <w:instrText>PAGE   \* MERGEFORMAT</w:instrText>
    </w:r>
    <w:r>
      <w:fldChar w:fldCharType="separate"/>
    </w:r>
    <w:r w:rsidR="00265DC9">
      <w:rPr>
        <w:noProof/>
      </w:rP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90" w:rsidRPr="00D6654B" w:rsidRDefault="00A56719" w:rsidP="00233407">
    <w:pPr>
      <w:pStyle w:val="Rodap"/>
      <w:jc w:val="right"/>
    </w:pPr>
    <w:r>
      <w:fldChar w:fldCharType="begin"/>
    </w:r>
    <w:r w:rsidR="00A43990">
      <w:instrText>PAGE   \* MERGEFORMAT</w:instrText>
    </w:r>
    <w:r>
      <w:fldChar w:fldCharType="separate"/>
    </w:r>
    <w:r w:rsidR="00265DC9">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DCD" w:rsidRDefault="00912DCD" w:rsidP="00E5231D">
      <w:pPr>
        <w:spacing w:after="0" w:line="240" w:lineRule="auto"/>
      </w:pPr>
      <w:r>
        <w:separator/>
      </w:r>
    </w:p>
  </w:footnote>
  <w:footnote w:type="continuationSeparator" w:id="0">
    <w:p w:rsidR="00912DCD" w:rsidRDefault="00912DCD" w:rsidP="00E523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90" w:rsidRDefault="00A439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CD5"/>
    <w:multiLevelType w:val="hybridMultilevel"/>
    <w:tmpl w:val="227A00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27B2F2B"/>
    <w:multiLevelType w:val="hybridMultilevel"/>
    <w:tmpl w:val="A44455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3AD020C"/>
    <w:multiLevelType w:val="hybridMultilevel"/>
    <w:tmpl w:val="869485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650406B"/>
    <w:multiLevelType w:val="multilevel"/>
    <w:tmpl w:val="FF9CADD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BF8F00" w:themeColor="accent4" w:themeShade="BF"/>
      </w:rPr>
    </w:lvl>
    <w:lvl w:ilvl="3">
      <w:start w:val="1"/>
      <w:numFmt w:val="decimal"/>
      <w:isLgl/>
      <w:lvlText w:val="%1.%2.%3.%4"/>
      <w:lvlJc w:val="left"/>
      <w:pPr>
        <w:ind w:left="1080" w:hanging="720"/>
      </w:pPr>
      <w:rPr>
        <w:rFonts w:hint="default"/>
        <w:color w:val="BF8F00" w:themeColor="accent4" w:themeShade="BF"/>
      </w:rPr>
    </w:lvl>
    <w:lvl w:ilvl="4">
      <w:start w:val="1"/>
      <w:numFmt w:val="decimal"/>
      <w:isLgl/>
      <w:lvlText w:val="%1.%2.%3.%4.%5"/>
      <w:lvlJc w:val="left"/>
      <w:pPr>
        <w:ind w:left="1080" w:hanging="720"/>
      </w:pPr>
      <w:rPr>
        <w:rFonts w:hint="default"/>
        <w:color w:val="BF8F00" w:themeColor="accent4" w:themeShade="BF"/>
      </w:rPr>
    </w:lvl>
    <w:lvl w:ilvl="5">
      <w:start w:val="1"/>
      <w:numFmt w:val="decimal"/>
      <w:isLgl/>
      <w:lvlText w:val="%1.%2.%3.%4.%5.%6"/>
      <w:lvlJc w:val="left"/>
      <w:pPr>
        <w:ind w:left="1440" w:hanging="1080"/>
      </w:pPr>
      <w:rPr>
        <w:rFonts w:hint="default"/>
        <w:color w:val="BF8F00" w:themeColor="accent4" w:themeShade="BF"/>
      </w:rPr>
    </w:lvl>
    <w:lvl w:ilvl="6">
      <w:start w:val="1"/>
      <w:numFmt w:val="decimal"/>
      <w:isLgl/>
      <w:lvlText w:val="%1.%2.%3.%4.%5.%6.%7"/>
      <w:lvlJc w:val="left"/>
      <w:pPr>
        <w:ind w:left="1440" w:hanging="1080"/>
      </w:pPr>
      <w:rPr>
        <w:rFonts w:hint="default"/>
        <w:color w:val="BF8F00" w:themeColor="accent4" w:themeShade="BF"/>
      </w:rPr>
    </w:lvl>
    <w:lvl w:ilvl="7">
      <w:start w:val="1"/>
      <w:numFmt w:val="decimal"/>
      <w:isLgl/>
      <w:lvlText w:val="%1.%2.%3.%4.%5.%6.%7.%8"/>
      <w:lvlJc w:val="left"/>
      <w:pPr>
        <w:ind w:left="1800" w:hanging="1440"/>
      </w:pPr>
      <w:rPr>
        <w:rFonts w:hint="default"/>
        <w:color w:val="BF8F00" w:themeColor="accent4" w:themeShade="BF"/>
      </w:rPr>
    </w:lvl>
    <w:lvl w:ilvl="8">
      <w:start w:val="1"/>
      <w:numFmt w:val="decimal"/>
      <w:isLgl/>
      <w:lvlText w:val="%1.%2.%3.%4.%5.%6.%7.%8.%9"/>
      <w:lvlJc w:val="left"/>
      <w:pPr>
        <w:ind w:left="1800" w:hanging="1440"/>
      </w:pPr>
      <w:rPr>
        <w:rFonts w:hint="default"/>
        <w:color w:val="BF8F00" w:themeColor="accent4" w:themeShade="BF"/>
      </w:rPr>
    </w:lvl>
  </w:abstractNum>
  <w:abstractNum w:abstractNumId="4">
    <w:nsid w:val="20C263DA"/>
    <w:multiLevelType w:val="hybridMultilevel"/>
    <w:tmpl w:val="DF78B36E"/>
    <w:lvl w:ilvl="0" w:tplc="323481C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229C772C"/>
    <w:multiLevelType w:val="multilevel"/>
    <w:tmpl w:val="FF9CADD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BF8F00" w:themeColor="accent4" w:themeShade="BF"/>
      </w:rPr>
    </w:lvl>
    <w:lvl w:ilvl="3">
      <w:start w:val="1"/>
      <w:numFmt w:val="decimal"/>
      <w:isLgl/>
      <w:lvlText w:val="%1.%2.%3.%4"/>
      <w:lvlJc w:val="left"/>
      <w:pPr>
        <w:ind w:left="1080" w:hanging="720"/>
      </w:pPr>
      <w:rPr>
        <w:rFonts w:hint="default"/>
        <w:color w:val="BF8F00" w:themeColor="accent4" w:themeShade="BF"/>
      </w:rPr>
    </w:lvl>
    <w:lvl w:ilvl="4">
      <w:start w:val="1"/>
      <w:numFmt w:val="decimal"/>
      <w:isLgl/>
      <w:lvlText w:val="%1.%2.%3.%4.%5"/>
      <w:lvlJc w:val="left"/>
      <w:pPr>
        <w:ind w:left="1080" w:hanging="720"/>
      </w:pPr>
      <w:rPr>
        <w:rFonts w:hint="default"/>
        <w:color w:val="BF8F00" w:themeColor="accent4" w:themeShade="BF"/>
      </w:rPr>
    </w:lvl>
    <w:lvl w:ilvl="5">
      <w:start w:val="1"/>
      <w:numFmt w:val="decimal"/>
      <w:isLgl/>
      <w:lvlText w:val="%1.%2.%3.%4.%5.%6"/>
      <w:lvlJc w:val="left"/>
      <w:pPr>
        <w:ind w:left="1440" w:hanging="1080"/>
      </w:pPr>
      <w:rPr>
        <w:rFonts w:hint="default"/>
        <w:color w:val="BF8F00" w:themeColor="accent4" w:themeShade="BF"/>
      </w:rPr>
    </w:lvl>
    <w:lvl w:ilvl="6">
      <w:start w:val="1"/>
      <w:numFmt w:val="decimal"/>
      <w:isLgl/>
      <w:lvlText w:val="%1.%2.%3.%4.%5.%6.%7"/>
      <w:lvlJc w:val="left"/>
      <w:pPr>
        <w:ind w:left="1440" w:hanging="1080"/>
      </w:pPr>
      <w:rPr>
        <w:rFonts w:hint="default"/>
        <w:color w:val="BF8F00" w:themeColor="accent4" w:themeShade="BF"/>
      </w:rPr>
    </w:lvl>
    <w:lvl w:ilvl="7">
      <w:start w:val="1"/>
      <w:numFmt w:val="decimal"/>
      <w:isLgl/>
      <w:lvlText w:val="%1.%2.%3.%4.%5.%6.%7.%8"/>
      <w:lvlJc w:val="left"/>
      <w:pPr>
        <w:ind w:left="1800" w:hanging="1440"/>
      </w:pPr>
      <w:rPr>
        <w:rFonts w:hint="default"/>
        <w:color w:val="BF8F00" w:themeColor="accent4" w:themeShade="BF"/>
      </w:rPr>
    </w:lvl>
    <w:lvl w:ilvl="8">
      <w:start w:val="1"/>
      <w:numFmt w:val="decimal"/>
      <w:isLgl/>
      <w:lvlText w:val="%1.%2.%3.%4.%5.%6.%7.%8.%9"/>
      <w:lvlJc w:val="left"/>
      <w:pPr>
        <w:ind w:left="1800" w:hanging="1440"/>
      </w:pPr>
      <w:rPr>
        <w:rFonts w:hint="default"/>
        <w:color w:val="BF8F00" w:themeColor="accent4" w:themeShade="BF"/>
      </w:rPr>
    </w:lvl>
  </w:abstractNum>
  <w:abstractNum w:abstractNumId="6">
    <w:nsid w:val="2B1175F1"/>
    <w:multiLevelType w:val="hybridMultilevel"/>
    <w:tmpl w:val="C154624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BE8233E"/>
    <w:multiLevelType w:val="hybridMultilevel"/>
    <w:tmpl w:val="594C4B86"/>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07D747A"/>
    <w:multiLevelType w:val="hybridMultilevel"/>
    <w:tmpl w:val="6BE6DC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31A12A2A"/>
    <w:multiLevelType w:val="multilevel"/>
    <w:tmpl w:val="FF9CADD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BF8F00" w:themeColor="accent4" w:themeShade="BF"/>
      </w:rPr>
    </w:lvl>
    <w:lvl w:ilvl="3">
      <w:start w:val="1"/>
      <w:numFmt w:val="decimal"/>
      <w:isLgl/>
      <w:lvlText w:val="%1.%2.%3.%4"/>
      <w:lvlJc w:val="left"/>
      <w:pPr>
        <w:ind w:left="1080" w:hanging="720"/>
      </w:pPr>
      <w:rPr>
        <w:rFonts w:hint="default"/>
        <w:color w:val="BF8F00" w:themeColor="accent4" w:themeShade="BF"/>
      </w:rPr>
    </w:lvl>
    <w:lvl w:ilvl="4">
      <w:start w:val="1"/>
      <w:numFmt w:val="decimal"/>
      <w:isLgl/>
      <w:lvlText w:val="%1.%2.%3.%4.%5"/>
      <w:lvlJc w:val="left"/>
      <w:pPr>
        <w:ind w:left="1080" w:hanging="720"/>
      </w:pPr>
      <w:rPr>
        <w:rFonts w:hint="default"/>
        <w:color w:val="BF8F00" w:themeColor="accent4" w:themeShade="BF"/>
      </w:rPr>
    </w:lvl>
    <w:lvl w:ilvl="5">
      <w:start w:val="1"/>
      <w:numFmt w:val="decimal"/>
      <w:isLgl/>
      <w:lvlText w:val="%1.%2.%3.%4.%5.%6"/>
      <w:lvlJc w:val="left"/>
      <w:pPr>
        <w:ind w:left="1440" w:hanging="1080"/>
      </w:pPr>
      <w:rPr>
        <w:rFonts w:hint="default"/>
        <w:color w:val="BF8F00" w:themeColor="accent4" w:themeShade="BF"/>
      </w:rPr>
    </w:lvl>
    <w:lvl w:ilvl="6">
      <w:start w:val="1"/>
      <w:numFmt w:val="decimal"/>
      <w:isLgl/>
      <w:lvlText w:val="%1.%2.%3.%4.%5.%6.%7"/>
      <w:lvlJc w:val="left"/>
      <w:pPr>
        <w:ind w:left="1440" w:hanging="1080"/>
      </w:pPr>
      <w:rPr>
        <w:rFonts w:hint="default"/>
        <w:color w:val="BF8F00" w:themeColor="accent4" w:themeShade="BF"/>
      </w:rPr>
    </w:lvl>
    <w:lvl w:ilvl="7">
      <w:start w:val="1"/>
      <w:numFmt w:val="decimal"/>
      <w:isLgl/>
      <w:lvlText w:val="%1.%2.%3.%4.%5.%6.%7.%8"/>
      <w:lvlJc w:val="left"/>
      <w:pPr>
        <w:ind w:left="1800" w:hanging="1440"/>
      </w:pPr>
      <w:rPr>
        <w:rFonts w:hint="default"/>
        <w:color w:val="BF8F00" w:themeColor="accent4" w:themeShade="BF"/>
      </w:rPr>
    </w:lvl>
    <w:lvl w:ilvl="8">
      <w:start w:val="1"/>
      <w:numFmt w:val="decimal"/>
      <w:isLgl/>
      <w:lvlText w:val="%1.%2.%3.%4.%5.%6.%7.%8.%9"/>
      <w:lvlJc w:val="left"/>
      <w:pPr>
        <w:ind w:left="1800" w:hanging="1440"/>
      </w:pPr>
      <w:rPr>
        <w:rFonts w:hint="default"/>
        <w:color w:val="BF8F00" w:themeColor="accent4" w:themeShade="BF"/>
      </w:rPr>
    </w:lvl>
  </w:abstractNum>
  <w:abstractNum w:abstractNumId="10">
    <w:nsid w:val="414D71A8"/>
    <w:multiLevelType w:val="hybridMultilevel"/>
    <w:tmpl w:val="16E6C8CC"/>
    <w:lvl w:ilvl="0" w:tplc="7128AB7C">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49476277"/>
    <w:multiLevelType w:val="hybridMultilevel"/>
    <w:tmpl w:val="D8C23B3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56067374"/>
    <w:multiLevelType w:val="hybridMultilevel"/>
    <w:tmpl w:val="D8C23B3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5798256C"/>
    <w:multiLevelType w:val="hybridMultilevel"/>
    <w:tmpl w:val="CF1AADB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59CB7CD5"/>
    <w:multiLevelType w:val="hybridMultilevel"/>
    <w:tmpl w:val="7648321E"/>
    <w:lvl w:ilvl="0" w:tplc="F11E9A72">
      <w:start w:val="3"/>
      <w:numFmt w:val="bullet"/>
      <w:lvlText w:val="•"/>
      <w:lvlJc w:val="left"/>
      <w:pPr>
        <w:ind w:left="1065" w:hanging="705"/>
      </w:pPr>
      <w:rPr>
        <w:rFonts w:ascii="Calibri" w:eastAsia="Times New Roman" w:hAnsi="Calibri"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5FD37786"/>
    <w:multiLevelType w:val="hybridMultilevel"/>
    <w:tmpl w:val="356E1C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629365A2"/>
    <w:multiLevelType w:val="hybridMultilevel"/>
    <w:tmpl w:val="5C72F8F4"/>
    <w:lvl w:ilvl="0" w:tplc="4952409E">
      <w:start w:val="1"/>
      <w:numFmt w:val="decimal"/>
      <w:pStyle w:val="Titulo1"/>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65077ED8"/>
    <w:multiLevelType w:val="hybridMultilevel"/>
    <w:tmpl w:val="D8C23B3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6A79750C"/>
    <w:multiLevelType w:val="hybridMultilevel"/>
    <w:tmpl w:val="35C053B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6BC81887"/>
    <w:multiLevelType w:val="hybridMultilevel"/>
    <w:tmpl w:val="CF1AADB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7E642241"/>
    <w:multiLevelType w:val="hybridMultilevel"/>
    <w:tmpl w:val="60980126"/>
    <w:lvl w:ilvl="0" w:tplc="F2CC37FE">
      <w:start w:val="1"/>
      <w:numFmt w:val="decimal"/>
      <w:pStyle w:val="Titulo2"/>
      <w:lvlText w:val="4.%1."/>
      <w:lvlJc w:val="left"/>
      <w:pPr>
        <w:ind w:left="720" w:hanging="360"/>
      </w:pPr>
      <w:rPr>
        <w:rFonts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6"/>
  </w:num>
  <w:num w:numId="2">
    <w:abstractNumId w:val="6"/>
  </w:num>
  <w:num w:numId="3">
    <w:abstractNumId w:val="18"/>
  </w:num>
  <w:num w:numId="4">
    <w:abstractNumId w:val="13"/>
  </w:num>
  <w:num w:numId="5">
    <w:abstractNumId w:val="4"/>
  </w:num>
  <w:num w:numId="6">
    <w:abstractNumId w:val="19"/>
  </w:num>
  <w:num w:numId="7">
    <w:abstractNumId w:val="15"/>
  </w:num>
  <w:num w:numId="8">
    <w:abstractNumId w:val="14"/>
  </w:num>
  <w:num w:numId="9">
    <w:abstractNumId w:val="20"/>
  </w:num>
  <w:num w:numId="10">
    <w:abstractNumId w:val="20"/>
  </w:num>
  <w:num w:numId="11">
    <w:abstractNumId w:val="7"/>
  </w:num>
  <w:num w:numId="12">
    <w:abstractNumId w:val="12"/>
  </w:num>
  <w:num w:numId="13">
    <w:abstractNumId w:val="11"/>
  </w:num>
  <w:num w:numId="14">
    <w:abstractNumId w:val="17"/>
  </w:num>
  <w:num w:numId="15">
    <w:abstractNumId w:val="0"/>
  </w:num>
  <w:num w:numId="16">
    <w:abstractNumId w:val="8"/>
  </w:num>
  <w:num w:numId="17">
    <w:abstractNumId w:val="2"/>
  </w:num>
  <w:num w:numId="18">
    <w:abstractNumId w:val="3"/>
  </w:num>
  <w:num w:numId="19">
    <w:abstractNumId w:val="10"/>
  </w:num>
  <w:num w:numId="20">
    <w:abstractNumId w:val="5"/>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evenAndOddHeaders/>
  <w:characterSpacingControl w:val="doNotCompress"/>
  <w:footnotePr>
    <w:footnote w:id="-1"/>
    <w:footnote w:id="0"/>
  </w:footnotePr>
  <w:endnotePr>
    <w:endnote w:id="-1"/>
    <w:endnote w:id="0"/>
  </w:endnotePr>
  <w:compat/>
  <w:rsids>
    <w:rsidRoot w:val="00346687"/>
    <w:rsid w:val="000036B4"/>
    <w:rsid w:val="000045F4"/>
    <w:rsid w:val="00014668"/>
    <w:rsid w:val="000148A2"/>
    <w:rsid w:val="00021A06"/>
    <w:rsid w:val="00046E4C"/>
    <w:rsid w:val="000518ED"/>
    <w:rsid w:val="000542F4"/>
    <w:rsid w:val="00054489"/>
    <w:rsid w:val="00057BB5"/>
    <w:rsid w:val="00074BF6"/>
    <w:rsid w:val="0008719C"/>
    <w:rsid w:val="000B1B58"/>
    <w:rsid w:val="000B47D3"/>
    <w:rsid w:val="000B5135"/>
    <w:rsid w:val="000B71E5"/>
    <w:rsid w:val="000B7D9E"/>
    <w:rsid w:val="000C1B95"/>
    <w:rsid w:val="000D62B6"/>
    <w:rsid w:val="000E04D1"/>
    <w:rsid w:val="000F495B"/>
    <w:rsid w:val="00104413"/>
    <w:rsid w:val="001067B9"/>
    <w:rsid w:val="001128DD"/>
    <w:rsid w:val="001224A8"/>
    <w:rsid w:val="00161FD5"/>
    <w:rsid w:val="001713BF"/>
    <w:rsid w:val="001E0B6B"/>
    <w:rsid w:val="001E5573"/>
    <w:rsid w:val="001E7C15"/>
    <w:rsid w:val="00201B5A"/>
    <w:rsid w:val="00204112"/>
    <w:rsid w:val="00207140"/>
    <w:rsid w:val="00212C1F"/>
    <w:rsid w:val="00233407"/>
    <w:rsid w:val="0024010F"/>
    <w:rsid w:val="002546FE"/>
    <w:rsid w:val="00256480"/>
    <w:rsid w:val="002610C9"/>
    <w:rsid w:val="00265DC9"/>
    <w:rsid w:val="00270312"/>
    <w:rsid w:val="002776DD"/>
    <w:rsid w:val="00282B60"/>
    <w:rsid w:val="002855A0"/>
    <w:rsid w:val="00290FF3"/>
    <w:rsid w:val="00294C1D"/>
    <w:rsid w:val="0029673C"/>
    <w:rsid w:val="002A326F"/>
    <w:rsid w:val="002A54EA"/>
    <w:rsid w:val="002B34D3"/>
    <w:rsid w:val="002B50EA"/>
    <w:rsid w:val="002B593B"/>
    <w:rsid w:val="002C248B"/>
    <w:rsid w:val="002C381E"/>
    <w:rsid w:val="002C40C5"/>
    <w:rsid w:val="002C6D37"/>
    <w:rsid w:val="002D2035"/>
    <w:rsid w:val="002E3BB2"/>
    <w:rsid w:val="00346687"/>
    <w:rsid w:val="00356FEE"/>
    <w:rsid w:val="0036120D"/>
    <w:rsid w:val="00363343"/>
    <w:rsid w:val="00365CE8"/>
    <w:rsid w:val="003678EB"/>
    <w:rsid w:val="00373BCC"/>
    <w:rsid w:val="00375B78"/>
    <w:rsid w:val="00386A2E"/>
    <w:rsid w:val="003A1042"/>
    <w:rsid w:val="003B3B6C"/>
    <w:rsid w:val="003B4224"/>
    <w:rsid w:val="003C0932"/>
    <w:rsid w:val="003C18F6"/>
    <w:rsid w:val="003C1E22"/>
    <w:rsid w:val="003C48C6"/>
    <w:rsid w:val="003C56CF"/>
    <w:rsid w:val="003D1740"/>
    <w:rsid w:val="003D1971"/>
    <w:rsid w:val="003F338A"/>
    <w:rsid w:val="003F3C42"/>
    <w:rsid w:val="004020AE"/>
    <w:rsid w:val="004143CB"/>
    <w:rsid w:val="00422172"/>
    <w:rsid w:val="00441C23"/>
    <w:rsid w:val="004673F6"/>
    <w:rsid w:val="00471EE1"/>
    <w:rsid w:val="004750B9"/>
    <w:rsid w:val="00485460"/>
    <w:rsid w:val="004905D2"/>
    <w:rsid w:val="00492C97"/>
    <w:rsid w:val="004A727C"/>
    <w:rsid w:val="004B28C9"/>
    <w:rsid w:val="004B3B9E"/>
    <w:rsid w:val="004B5353"/>
    <w:rsid w:val="004C6204"/>
    <w:rsid w:val="005102B7"/>
    <w:rsid w:val="00514B49"/>
    <w:rsid w:val="00515DE3"/>
    <w:rsid w:val="0052211C"/>
    <w:rsid w:val="005272D2"/>
    <w:rsid w:val="00527C68"/>
    <w:rsid w:val="00533677"/>
    <w:rsid w:val="0053774B"/>
    <w:rsid w:val="00544520"/>
    <w:rsid w:val="005550FF"/>
    <w:rsid w:val="005606E6"/>
    <w:rsid w:val="00571154"/>
    <w:rsid w:val="005A2821"/>
    <w:rsid w:val="005B2590"/>
    <w:rsid w:val="005C2F1C"/>
    <w:rsid w:val="005C4220"/>
    <w:rsid w:val="005D3C8F"/>
    <w:rsid w:val="005E5E64"/>
    <w:rsid w:val="00610539"/>
    <w:rsid w:val="0062303B"/>
    <w:rsid w:val="00655321"/>
    <w:rsid w:val="00655631"/>
    <w:rsid w:val="006672D9"/>
    <w:rsid w:val="00671A70"/>
    <w:rsid w:val="00674AFE"/>
    <w:rsid w:val="0067503A"/>
    <w:rsid w:val="00690693"/>
    <w:rsid w:val="006B3EA2"/>
    <w:rsid w:val="006B79CC"/>
    <w:rsid w:val="006C169A"/>
    <w:rsid w:val="006C54F8"/>
    <w:rsid w:val="006E685F"/>
    <w:rsid w:val="00732C5C"/>
    <w:rsid w:val="007407D0"/>
    <w:rsid w:val="007576A0"/>
    <w:rsid w:val="00775D57"/>
    <w:rsid w:val="00776E57"/>
    <w:rsid w:val="007806B0"/>
    <w:rsid w:val="00784358"/>
    <w:rsid w:val="00786483"/>
    <w:rsid w:val="0079154C"/>
    <w:rsid w:val="007B66A1"/>
    <w:rsid w:val="007C3BA2"/>
    <w:rsid w:val="007D0F26"/>
    <w:rsid w:val="008056DD"/>
    <w:rsid w:val="00805892"/>
    <w:rsid w:val="00814932"/>
    <w:rsid w:val="00822532"/>
    <w:rsid w:val="00824C24"/>
    <w:rsid w:val="008277A3"/>
    <w:rsid w:val="00837274"/>
    <w:rsid w:val="00837CFB"/>
    <w:rsid w:val="00851798"/>
    <w:rsid w:val="00851905"/>
    <w:rsid w:val="00856FDD"/>
    <w:rsid w:val="00857BB4"/>
    <w:rsid w:val="00873764"/>
    <w:rsid w:val="0087611E"/>
    <w:rsid w:val="008805F6"/>
    <w:rsid w:val="00882316"/>
    <w:rsid w:val="00882E45"/>
    <w:rsid w:val="0089135C"/>
    <w:rsid w:val="008A7F43"/>
    <w:rsid w:val="008B5227"/>
    <w:rsid w:val="008C018C"/>
    <w:rsid w:val="008C5D48"/>
    <w:rsid w:val="008F1DEB"/>
    <w:rsid w:val="008F6D06"/>
    <w:rsid w:val="00903638"/>
    <w:rsid w:val="00903E33"/>
    <w:rsid w:val="00912DCD"/>
    <w:rsid w:val="009140F9"/>
    <w:rsid w:val="00917527"/>
    <w:rsid w:val="009205DE"/>
    <w:rsid w:val="0092765C"/>
    <w:rsid w:val="00936EF2"/>
    <w:rsid w:val="0094293B"/>
    <w:rsid w:val="0094418A"/>
    <w:rsid w:val="00952B5A"/>
    <w:rsid w:val="00962322"/>
    <w:rsid w:val="00970B3A"/>
    <w:rsid w:val="00971BBE"/>
    <w:rsid w:val="00977C36"/>
    <w:rsid w:val="009802DC"/>
    <w:rsid w:val="00986AE1"/>
    <w:rsid w:val="0098782F"/>
    <w:rsid w:val="009900C5"/>
    <w:rsid w:val="00996C02"/>
    <w:rsid w:val="009D29BF"/>
    <w:rsid w:val="009E61AA"/>
    <w:rsid w:val="009E79EC"/>
    <w:rsid w:val="009F7B67"/>
    <w:rsid w:val="00A03847"/>
    <w:rsid w:val="00A11C36"/>
    <w:rsid w:val="00A25136"/>
    <w:rsid w:val="00A27F06"/>
    <w:rsid w:val="00A41752"/>
    <w:rsid w:val="00A42530"/>
    <w:rsid w:val="00A43990"/>
    <w:rsid w:val="00A51A57"/>
    <w:rsid w:val="00A56719"/>
    <w:rsid w:val="00A711A9"/>
    <w:rsid w:val="00A8557F"/>
    <w:rsid w:val="00A96C4F"/>
    <w:rsid w:val="00AA38D0"/>
    <w:rsid w:val="00AA7D77"/>
    <w:rsid w:val="00AB1FE6"/>
    <w:rsid w:val="00AB627E"/>
    <w:rsid w:val="00AE1718"/>
    <w:rsid w:val="00AF111C"/>
    <w:rsid w:val="00AF1531"/>
    <w:rsid w:val="00AF1745"/>
    <w:rsid w:val="00AF6BD7"/>
    <w:rsid w:val="00B0028C"/>
    <w:rsid w:val="00B20DE1"/>
    <w:rsid w:val="00B27C50"/>
    <w:rsid w:val="00B44939"/>
    <w:rsid w:val="00B65553"/>
    <w:rsid w:val="00B72B35"/>
    <w:rsid w:val="00B80311"/>
    <w:rsid w:val="00B815E6"/>
    <w:rsid w:val="00B81EE9"/>
    <w:rsid w:val="00B90CA0"/>
    <w:rsid w:val="00B9730B"/>
    <w:rsid w:val="00BA1E0F"/>
    <w:rsid w:val="00BB6CB8"/>
    <w:rsid w:val="00BD1A8A"/>
    <w:rsid w:val="00BE43DD"/>
    <w:rsid w:val="00BE65E3"/>
    <w:rsid w:val="00BE7FBE"/>
    <w:rsid w:val="00C0319A"/>
    <w:rsid w:val="00C045DE"/>
    <w:rsid w:val="00C04FAC"/>
    <w:rsid w:val="00C13569"/>
    <w:rsid w:val="00C138AF"/>
    <w:rsid w:val="00C14808"/>
    <w:rsid w:val="00C256A9"/>
    <w:rsid w:val="00C3316A"/>
    <w:rsid w:val="00C36FFE"/>
    <w:rsid w:val="00C46327"/>
    <w:rsid w:val="00C5157B"/>
    <w:rsid w:val="00C62DA1"/>
    <w:rsid w:val="00C80CB1"/>
    <w:rsid w:val="00C825B7"/>
    <w:rsid w:val="00CB7440"/>
    <w:rsid w:val="00CD7FB8"/>
    <w:rsid w:val="00CE367F"/>
    <w:rsid w:val="00D114F9"/>
    <w:rsid w:val="00D11E8A"/>
    <w:rsid w:val="00D1204F"/>
    <w:rsid w:val="00D1289C"/>
    <w:rsid w:val="00D20C8C"/>
    <w:rsid w:val="00D2701C"/>
    <w:rsid w:val="00D365BB"/>
    <w:rsid w:val="00D63690"/>
    <w:rsid w:val="00D65575"/>
    <w:rsid w:val="00D6654B"/>
    <w:rsid w:val="00D6708D"/>
    <w:rsid w:val="00D76E73"/>
    <w:rsid w:val="00DA213F"/>
    <w:rsid w:val="00DC5FAD"/>
    <w:rsid w:val="00DD0C46"/>
    <w:rsid w:val="00E00D52"/>
    <w:rsid w:val="00E0284B"/>
    <w:rsid w:val="00E17344"/>
    <w:rsid w:val="00E51DE0"/>
    <w:rsid w:val="00E5231D"/>
    <w:rsid w:val="00E61E70"/>
    <w:rsid w:val="00E67E3F"/>
    <w:rsid w:val="00E90857"/>
    <w:rsid w:val="00EC5321"/>
    <w:rsid w:val="00EC5817"/>
    <w:rsid w:val="00EE6FD5"/>
    <w:rsid w:val="00F00D4F"/>
    <w:rsid w:val="00F0725C"/>
    <w:rsid w:val="00F16AB7"/>
    <w:rsid w:val="00F31235"/>
    <w:rsid w:val="00F329C6"/>
    <w:rsid w:val="00F4310C"/>
    <w:rsid w:val="00F44176"/>
    <w:rsid w:val="00F4625C"/>
    <w:rsid w:val="00F6405B"/>
    <w:rsid w:val="00F70947"/>
    <w:rsid w:val="00F71414"/>
    <w:rsid w:val="00F81F5D"/>
    <w:rsid w:val="00F93A13"/>
    <w:rsid w:val="00FA45BB"/>
    <w:rsid w:val="00FA7D5B"/>
    <w:rsid w:val="00FB3D1D"/>
    <w:rsid w:val="00FB5B75"/>
    <w:rsid w:val="00FE4A09"/>
    <w:rsid w:val="00FE4AE8"/>
    <w:rsid w:val="00FE4FF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8A"/>
    <w:pPr>
      <w:spacing w:after="200" w:line="276" w:lineRule="auto"/>
      <w:jc w:val="both"/>
    </w:pPr>
    <w:rPr>
      <w:rFonts w:ascii="Calibri" w:eastAsia="Times New Roman" w:hAnsi="Calibri" w:cs="Times New Roman"/>
    </w:rPr>
  </w:style>
  <w:style w:type="paragraph" w:styleId="Ttulo1">
    <w:name w:val="heading 1"/>
    <w:basedOn w:val="Normal"/>
    <w:next w:val="Normal"/>
    <w:link w:val="Ttulo1Carcter"/>
    <w:uiPriority w:val="9"/>
    <w:qFormat/>
    <w:rsid w:val="006C16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cter"/>
    <w:uiPriority w:val="9"/>
    <w:semiHidden/>
    <w:unhideWhenUsed/>
    <w:qFormat/>
    <w:rsid w:val="006C16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cter"/>
    <w:uiPriority w:val="9"/>
    <w:semiHidden/>
    <w:unhideWhenUsed/>
    <w:qFormat/>
    <w:rsid w:val="006C16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1">
    <w:name w:val="Titulo1"/>
    <w:basedOn w:val="Ttulo"/>
    <w:next w:val="Normal"/>
    <w:qFormat/>
    <w:rsid w:val="00544520"/>
    <w:pPr>
      <w:numPr>
        <w:numId w:val="1"/>
      </w:numPr>
      <w:spacing w:before="240" w:after="240" w:line="360" w:lineRule="auto"/>
      <w:ind w:left="431" w:hanging="431"/>
      <w:contextualSpacing w:val="0"/>
      <w:outlineLvl w:val="0"/>
    </w:pPr>
    <w:rPr>
      <w:rFonts w:ascii="Calibri" w:hAnsi="Calibri"/>
      <w:b/>
      <w:caps/>
      <w:color w:val="1F4E79" w:themeColor="accent1" w:themeShade="80"/>
      <w:sz w:val="32"/>
    </w:rPr>
  </w:style>
  <w:style w:type="paragraph" w:styleId="PargrafodaLista">
    <w:name w:val="List Paragraph"/>
    <w:basedOn w:val="Normal"/>
    <w:uiPriority w:val="34"/>
    <w:qFormat/>
    <w:rsid w:val="00837CFB"/>
    <w:pPr>
      <w:ind w:left="720"/>
      <w:contextualSpacing/>
    </w:pPr>
  </w:style>
  <w:style w:type="paragraph" w:styleId="Ttulo">
    <w:name w:val="Title"/>
    <w:basedOn w:val="Normal"/>
    <w:next w:val="Normal"/>
    <w:link w:val="TtuloCarcter"/>
    <w:uiPriority w:val="10"/>
    <w:qFormat/>
    <w:rsid w:val="00837C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cter">
    <w:name w:val="Título Carácter"/>
    <w:basedOn w:val="Tipodeletrapredefinidodopargrafo"/>
    <w:link w:val="Ttulo"/>
    <w:uiPriority w:val="10"/>
    <w:rsid w:val="00837CFB"/>
    <w:rPr>
      <w:rFonts w:asciiTheme="majorHAnsi" w:eastAsiaTheme="majorEastAsia" w:hAnsiTheme="majorHAnsi" w:cstheme="majorBidi"/>
      <w:spacing w:val="-10"/>
      <w:kern w:val="28"/>
      <w:sz w:val="56"/>
      <w:szCs w:val="56"/>
    </w:rPr>
  </w:style>
  <w:style w:type="character" w:customStyle="1" w:styleId="Ttulo1Carcter">
    <w:name w:val="Título 1 Carácter"/>
    <w:basedOn w:val="Tipodeletrapredefinidodopargrafo"/>
    <w:link w:val="Ttulo1"/>
    <w:uiPriority w:val="9"/>
    <w:rsid w:val="006C169A"/>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F70947"/>
    <w:pPr>
      <w:spacing w:after="100"/>
    </w:pPr>
  </w:style>
  <w:style w:type="character" w:customStyle="1" w:styleId="Ttulo2Carcter">
    <w:name w:val="Título 2 Carácter"/>
    <w:basedOn w:val="Tipodeletrapredefinidodopargrafo"/>
    <w:link w:val="Ttulo2"/>
    <w:uiPriority w:val="9"/>
    <w:semiHidden/>
    <w:rsid w:val="006C169A"/>
    <w:rPr>
      <w:rFonts w:asciiTheme="majorHAnsi" w:eastAsiaTheme="majorEastAsia" w:hAnsiTheme="majorHAnsi" w:cstheme="majorBidi"/>
      <w:color w:val="2E74B5" w:themeColor="accent1" w:themeShade="BF"/>
      <w:sz w:val="26"/>
      <w:szCs w:val="26"/>
    </w:rPr>
  </w:style>
  <w:style w:type="character" w:customStyle="1" w:styleId="Ttulo3Carcter">
    <w:name w:val="Título 3 Carácter"/>
    <w:basedOn w:val="Tipodeletrapredefinidodopargrafo"/>
    <w:link w:val="Ttulo3"/>
    <w:uiPriority w:val="9"/>
    <w:semiHidden/>
    <w:rsid w:val="006C169A"/>
    <w:rPr>
      <w:rFonts w:asciiTheme="majorHAnsi" w:eastAsiaTheme="majorEastAsia" w:hAnsiTheme="majorHAnsi" w:cstheme="majorBidi"/>
      <w:color w:val="1F4D78" w:themeColor="accent1" w:themeShade="7F"/>
      <w:sz w:val="24"/>
      <w:szCs w:val="24"/>
    </w:rPr>
  </w:style>
  <w:style w:type="character" w:styleId="Hiperligao">
    <w:name w:val="Hyperlink"/>
    <w:basedOn w:val="Tipodeletrapredefinidodopargrafo"/>
    <w:uiPriority w:val="99"/>
    <w:unhideWhenUsed/>
    <w:rsid w:val="006C169A"/>
    <w:rPr>
      <w:color w:val="0563C1" w:themeColor="hyperlink"/>
      <w:u w:val="single"/>
    </w:rPr>
  </w:style>
  <w:style w:type="paragraph" w:customStyle="1" w:styleId="Titulo2">
    <w:name w:val="Titulo 2"/>
    <w:basedOn w:val="Titulo1"/>
    <w:next w:val="Normal"/>
    <w:qFormat/>
    <w:rsid w:val="000B71E5"/>
    <w:pPr>
      <w:numPr>
        <w:numId w:val="9"/>
      </w:numPr>
      <w:spacing w:before="120" w:after="120"/>
      <w:ind w:left="714" w:hanging="357"/>
    </w:pPr>
    <w:rPr>
      <w:smallCaps/>
      <w:sz w:val="28"/>
    </w:rPr>
  </w:style>
  <w:style w:type="paragraph" w:styleId="ndice2">
    <w:name w:val="toc 2"/>
    <w:basedOn w:val="Normal"/>
    <w:next w:val="Normal"/>
    <w:autoRedefine/>
    <w:uiPriority w:val="39"/>
    <w:unhideWhenUsed/>
    <w:rsid w:val="00F70947"/>
    <w:pPr>
      <w:spacing w:after="100"/>
      <w:ind w:left="220"/>
    </w:pPr>
    <w:rPr>
      <w:color w:val="000000" w:themeColor="text1"/>
    </w:rPr>
  </w:style>
  <w:style w:type="paragraph" w:styleId="Cabealho">
    <w:name w:val="header"/>
    <w:basedOn w:val="Normal"/>
    <w:link w:val="CabealhoCarcter"/>
    <w:uiPriority w:val="99"/>
    <w:unhideWhenUsed/>
    <w:rsid w:val="00E5231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E5231D"/>
    <w:rPr>
      <w:rFonts w:ascii="Calibri" w:eastAsia="Times New Roman" w:hAnsi="Calibri" w:cs="Times New Roman"/>
    </w:rPr>
  </w:style>
  <w:style w:type="paragraph" w:styleId="Rodap">
    <w:name w:val="footer"/>
    <w:basedOn w:val="Normal"/>
    <w:link w:val="RodapCarcter"/>
    <w:uiPriority w:val="99"/>
    <w:unhideWhenUsed/>
    <w:rsid w:val="00E5231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E5231D"/>
    <w:rPr>
      <w:rFonts w:ascii="Calibri" w:eastAsia="Times New Roman" w:hAnsi="Calibri" w:cs="Times New Roman"/>
    </w:rPr>
  </w:style>
  <w:style w:type="table" w:styleId="Tabelacomgrelha">
    <w:name w:val="Table Grid"/>
    <w:basedOn w:val="Tabelanormal"/>
    <w:uiPriority w:val="39"/>
    <w:rsid w:val="00C04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414"/>
    <w:pPr>
      <w:autoSpaceDE w:val="0"/>
      <w:autoSpaceDN w:val="0"/>
      <w:adjustRightInd w:val="0"/>
      <w:spacing w:after="0" w:line="240" w:lineRule="auto"/>
    </w:pPr>
    <w:rPr>
      <w:rFonts w:ascii="Calibri" w:hAnsi="Calibri" w:cs="Calibri"/>
      <w:color w:val="000000"/>
      <w:sz w:val="24"/>
      <w:szCs w:val="24"/>
    </w:rPr>
  </w:style>
  <w:style w:type="paragraph" w:styleId="Legenda">
    <w:name w:val="caption"/>
    <w:basedOn w:val="Normal"/>
    <w:next w:val="Normal"/>
    <w:uiPriority w:val="35"/>
    <w:unhideWhenUsed/>
    <w:qFormat/>
    <w:rsid w:val="003C1E22"/>
    <w:pPr>
      <w:spacing w:line="240" w:lineRule="auto"/>
    </w:pPr>
    <w:rPr>
      <w:i/>
      <w:iCs/>
      <w:color w:val="44546A" w:themeColor="text2"/>
      <w:sz w:val="18"/>
      <w:szCs w:val="18"/>
    </w:rPr>
  </w:style>
  <w:style w:type="paragraph" w:styleId="ndicedeilustraes">
    <w:name w:val="table of figures"/>
    <w:basedOn w:val="Normal"/>
    <w:next w:val="Normal"/>
    <w:uiPriority w:val="99"/>
    <w:unhideWhenUsed/>
    <w:rsid w:val="003C1E22"/>
    <w:pPr>
      <w:spacing w:after="0"/>
    </w:pPr>
  </w:style>
  <w:style w:type="character" w:styleId="Refdecomentrio">
    <w:name w:val="annotation reference"/>
    <w:basedOn w:val="Tipodeletrapredefinidodopargrafo"/>
    <w:uiPriority w:val="99"/>
    <w:semiHidden/>
    <w:unhideWhenUsed/>
    <w:rsid w:val="00527C68"/>
    <w:rPr>
      <w:sz w:val="16"/>
      <w:szCs w:val="16"/>
    </w:rPr>
  </w:style>
  <w:style w:type="paragraph" w:styleId="Textodecomentrio">
    <w:name w:val="annotation text"/>
    <w:basedOn w:val="Normal"/>
    <w:link w:val="TextodecomentrioCarcter"/>
    <w:uiPriority w:val="99"/>
    <w:semiHidden/>
    <w:unhideWhenUsed/>
    <w:rsid w:val="00527C68"/>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527C68"/>
    <w:rPr>
      <w:rFonts w:ascii="Calibri" w:eastAsia="Times New Roman" w:hAnsi="Calibri"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527C68"/>
    <w:rPr>
      <w:b/>
      <w:bCs/>
    </w:rPr>
  </w:style>
  <w:style w:type="character" w:customStyle="1" w:styleId="AssuntodecomentrioCarcter">
    <w:name w:val="Assunto de comentário Carácter"/>
    <w:basedOn w:val="TextodecomentrioCarcter"/>
    <w:link w:val="Assuntodecomentrio"/>
    <w:uiPriority w:val="99"/>
    <w:semiHidden/>
    <w:rsid w:val="00527C68"/>
    <w:rPr>
      <w:rFonts w:ascii="Calibri" w:eastAsia="Times New Roman" w:hAnsi="Calibri" w:cs="Times New Roman"/>
      <w:b/>
      <w:bCs/>
      <w:sz w:val="20"/>
      <w:szCs w:val="20"/>
    </w:rPr>
  </w:style>
  <w:style w:type="paragraph" w:styleId="Textodebalo">
    <w:name w:val="Balloon Text"/>
    <w:basedOn w:val="Normal"/>
    <w:link w:val="TextodebaloCarcter"/>
    <w:uiPriority w:val="99"/>
    <w:semiHidden/>
    <w:unhideWhenUsed/>
    <w:rsid w:val="00527C68"/>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527C6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apa.local\fileshare\Departamentos\DLPC\CNT_REN\Ponto1E2_AvaliacaoRJREN_ElaboracaoGuiasMetodologicos\DL%20para%20hiperliga&#231;&#227;o\Pimenta%20-%20Directrizes%20para%20aplicacao%20da%20USLE%20em%20SIG.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25FC-B60F-4A75-8185-4892683B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13127</Words>
  <Characters>70888</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dc:creator>
  <cp:keywords/>
  <dc:description/>
  <cp:lastModifiedBy>Marta Afonso</cp:lastModifiedBy>
  <cp:revision>2</cp:revision>
  <cp:lastPrinted>2016-05-18T09:46:00Z</cp:lastPrinted>
  <dcterms:created xsi:type="dcterms:W3CDTF">2016-05-18T09:47:00Z</dcterms:created>
  <dcterms:modified xsi:type="dcterms:W3CDTF">2016-05-18T09:47:00Z</dcterms:modified>
</cp:coreProperties>
</file>